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A0C5" w14:textId="00DD2060" w:rsidR="002C24ED" w:rsidRDefault="0008273B" w:rsidP="002C24ED">
      <w:pPr>
        <w:jc w:val="center"/>
        <w:rPr>
          <w:rFonts w:ascii="Arial" w:hAnsi="Arial" w:cs="Arial"/>
          <w:b/>
          <w:i/>
          <w:sz w:val="20"/>
          <w:u w:val="single"/>
        </w:rPr>
      </w:pPr>
      <w:r>
        <w:rPr>
          <w:rFonts w:ascii="Arial" w:hAnsi="Arial" w:cs="Arial"/>
          <w:b/>
          <w:i/>
          <w:sz w:val="20"/>
          <w:u w:val="single"/>
        </w:rPr>
        <w:t>BUDGET INTEGRATO 2022</w:t>
      </w:r>
      <w:r w:rsidR="007526F6">
        <w:rPr>
          <w:rFonts w:ascii="Arial" w:hAnsi="Arial" w:cs="Arial"/>
          <w:b/>
          <w:i/>
          <w:sz w:val="20"/>
          <w:u w:val="single"/>
        </w:rPr>
        <w:t xml:space="preserve"> –SCHEDA </w:t>
      </w:r>
      <w:r w:rsidR="00E950ED">
        <w:rPr>
          <w:rFonts w:ascii="Arial" w:hAnsi="Arial" w:cs="Arial"/>
          <w:b/>
          <w:i/>
          <w:sz w:val="20"/>
          <w:u w:val="single"/>
        </w:rPr>
        <w:t xml:space="preserve">RICHIESTA </w:t>
      </w:r>
      <w:proofErr w:type="gramStart"/>
      <w:r w:rsidR="00E950ED">
        <w:rPr>
          <w:rFonts w:ascii="Arial" w:hAnsi="Arial" w:cs="Arial"/>
          <w:b/>
          <w:i/>
          <w:sz w:val="20"/>
          <w:u w:val="single"/>
        </w:rPr>
        <w:t>ASSEGNO</w:t>
      </w:r>
      <w:r w:rsidR="00D251B4">
        <w:rPr>
          <w:rFonts w:ascii="Arial" w:hAnsi="Arial" w:cs="Arial"/>
          <w:b/>
          <w:i/>
          <w:sz w:val="20"/>
          <w:u w:val="single"/>
        </w:rPr>
        <w:t xml:space="preserve"> </w:t>
      </w:r>
      <w:r w:rsidR="00E47570">
        <w:rPr>
          <w:rFonts w:ascii="Arial" w:hAnsi="Arial" w:cs="Arial"/>
          <w:b/>
          <w:i/>
          <w:sz w:val="20"/>
          <w:u w:val="single"/>
        </w:rPr>
        <w:t xml:space="preserve"> COFINANZIATO</w:t>
      </w:r>
      <w:proofErr w:type="gramEnd"/>
    </w:p>
    <w:p w14:paraId="672A6659" w14:textId="77777777" w:rsidR="007526F6" w:rsidRDefault="007526F6" w:rsidP="002C24ED">
      <w:pPr>
        <w:jc w:val="center"/>
        <w:rPr>
          <w:rFonts w:ascii="Arial" w:hAnsi="Arial" w:cs="Arial"/>
          <w:b/>
          <w:i/>
          <w:sz w:val="20"/>
          <w:u w:val="single"/>
        </w:rPr>
      </w:pPr>
    </w:p>
    <w:p w14:paraId="1B01B34F" w14:textId="5F1C9C67" w:rsidR="00BF1725" w:rsidRPr="00A31387" w:rsidRDefault="000B07B8" w:rsidP="00BF1725">
      <w:pPr>
        <w:spacing w:line="360" w:lineRule="auto"/>
        <w:jc w:val="both"/>
        <w:rPr>
          <w:rFonts w:ascii="Arial" w:hAnsi="Arial" w:cs="Arial"/>
          <w:sz w:val="22"/>
          <w:szCs w:val="22"/>
        </w:rPr>
      </w:pPr>
      <w:r w:rsidRPr="00A31387">
        <w:rPr>
          <w:rFonts w:ascii="Arial" w:hAnsi="Arial" w:cs="Arial"/>
          <w:sz w:val="22"/>
          <w:szCs w:val="22"/>
        </w:rPr>
        <w:t xml:space="preserve">Il </w:t>
      </w:r>
      <w:proofErr w:type="gramStart"/>
      <w:r w:rsidRPr="00A31387">
        <w:rPr>
          <w:rFonts w:ascii="Arial" w:hAnsi="Arial" w:cs="Arial"/>
          <w:sz w:val="22"/>
          <w:szCs w:val="22"/>
        </w:rPr>
        <w:t xml:space="preserve">richiedente  </w:t>
      </w:r>
      <w:r w:rsidR="00362D45" w:rsidRPr="002C6C19">
        <w:rPr>
          <w:rFonts w:ascii="Arial" w:hAnsi="Arial" w:cs="Arial"/>
          <w:b/>
          <w:bCs/>
          <w:sz w:val="22"/>
          <w:szCs w:val="22"/>
        </w:rPr>
        <w:t>prof.</w:t>
      </w:r>
      <w:proofErr w:type="gramEnd"/>
      <w:r w:rsidR="00362D45" w:rsidRPr="002C6C19">
        <w:rPr>
          <w:rFonts w:ascii="Arial" w:hAnsi="Arial" w:cs="Arial"/>
          <w:b/>
          <w:bCs/>
          <w:sz w:val="22"/>
          <w:szCs w:val="22"/>
        </w:rPr>
        <w:t xml:space="preserve"> Alessandro Silvani</w:t>
      </w:r>
    </w:p>
    <w:p w14:paraId="579293BB" w14:textId="5BDAC859" w:rsidR="0086699F" w:rsidRDefault="00182AB0" w:rsidP="00E47570">
      <w:pPr>
        <w:spacing w:line="360" w:lineRule="auto"/>
        <w:jc w:val="both"/>
        <w:rPr>
          <w:rFonts w:ascii="Arial" w:hAnsi="Arial" w:cs="Arial"/>
          <w:sz w:val="22"/>
          <w:szCs w:val="22"/>
        </w:rPr>
      </w:pPr>
      <w:r w:rsidRPr="00A31387">
        <w:rPr>
          <w:rFonts w:ascii="Arial" w:hAnsi="Arial" w:cs="Arial"/>
          <w:sz w:val="22"/>
          <w:szCs w:val="22"/>
        </w:rPr>
        <w:t>v</w:t>
      </w:r>
      <w:r w:rsidR="0034619F" w:rsidRPr="00A31387">
        <w:rPr>
          <w:rFonts w:ascii="Arial" w:hAnsi="Arial" w:cs="Arial"/>
          <w:sz w:val="22"/>
          <w:szCs w:val="22"/>
        </w:rPr>
        <w:t xml:space="preserve">alutazione </w:t>
      </w:r>
      <w:r w:rsidR="007526F6" w:rsidRPr="00A31387">
        <w:rPr>
          <w:rFonts w:ascii="Arial" w:hAnsi="Arial" w:cs="Arial"/>
          <w:sz w:val="22"/>
          <w:szCs w:val="22"/>
        </w:rPr>
        <w:t>VRA 2019</w:t>
      </w:r>
      <w:r w:rsidR="0034619F" w:rsidRPr="00A31387">
        <w:rPr>
          <w:rFonts w:ascii="Arial" w:hAnsi="Arial" w:cs="Arial"/>
          <w:sz w:val="22"/>
          <w:szCs w:val="22"/>
        </w:rPr>
        <w:t xml:space="preserve">: </w:t>
      </w:r>
      <w:r w:rsidR="00E47570" w:rsidRPr="000A2329">
        <w:rPr>
          <w:rFonts w:ascii="Arial" w:hAnsi="Arial" w:cs="Arial"/>
          <w:b/>
          <w:i/>
          <w:sz w:val="22"/>
          <w:szCs w:val="22"/>
        </w:rPr>
        <w:t xml:space="preserve">□ </w:t>
      </w:r>
      <w:r w:rsidR="00E47570" w:rsidRPr="000A2329">
        <w:rPr>
          <w:rFonts w:ascii="Arial" w:hAnsi="Arial" w:cs="Arial"/>
          <w:i/>
          <w:sz w:val="22"/>
          <w:szCs w:val="22"/>
        </w:rPr>
        <w:t xml:space="preserve">NO    </w:t>
      </w:r>
      <w:proofErr w:type="gramStart"/>
      <w:r w:rsidR="00362D45">
        <w:rPr>
          <w:rFonts w:ascii="Arial" w:hAnsi="Arial" w:cs="Arial"/>
          <w:i/>
          <w:sz w:val="22"/>
          <w:szCs w:val="22"/>
        </w:rPr>
        <w:t>X</w:t>
      </w:r>
      <w:r w:rsidR="00E47570" w:rsidRPr="000A2329">
        <w:rPr>
          <w:rFonts w:ascii="Arial" w:hAnsi="Arial" w:cs="Arial"/>
          <w:i/>
          <w:sz w:val="22"/>
          <w:szCs w:val="22"/>
        </w:rPr>
        <w:t xml:space="preserve">  SI</w:t>
      </w:r>
      <w:proofErr w:type="gramEnd"/>
      <w:r w:rsidR="00E47570" w:rsidRPr="00A31387" w:rsidDel="00E47570">
        <w:rPr>
          <w:rFonts w:ascii="Arial" w:hAnsi="Arial" w:cs="Arial"/>
          <w:sz w:val="22"/>
          <w:szCs w:val="22"/>
        </w:rPr>
        <w:t xml:space="preserve"> </w:t>
      </w:r>
    </w:p>
    <w:p w14:paraId="09D314B2" w14:textId="257A4BAD" w:rsidR="0034619F" w:rsidRPr="00A31387" w:rsidRDefault="00EC008C" w:rsidP="00E47570">
      <w:pPr>
        <w:spacing w:line="360" w:lineRule="auto"/>
        <w:jc w:val="both"/>
        <w:rPr>
          <w:rFonts w:ascii="Arial" w:hAnsi="Arial" w:cs="Arial"/>
          <w:i/>
          <w:sz w:val="22"/>
          <w:szCs w:val="22"/>
        </w:rPr>
      </w:pPr>
      <w:bookmarkStart w:id="0" w:name="_Hlk73357058"/>
      <w:r w:rsidRPr="00A31387">
        <w:rPr>
          <w:rFonts w:ascii="Arial" w:hAnsi="Arial" w:cs="Arial"/>
          <w:i/>
          <w:sz w:val="22"/>
          <w:szCs w:val="22"/>
        </w:rPr>
        <w:t>I</w:t>
      </w:r>
      <w:r w:rsidR="0034619F" w:rsidRPr="00A31387">
        <w:rPr>
          <w:rFonts w:ascii="Arial" w:hAnsi="Arial" w:cs="Arial"/>
          <w:i/>
          <w:sz w:val="22"/>
          <w:szCs w:val="22"/>
        </w:rPr>
        <w:t xml:space="preserve"> richiedenti che sono stati sottoposti a VRA</w:t>
      </w:r>
      <w:r w:rsidR="0086699F">
        <w:rPr>
          <w:rFonts w:ascii="Arial" w:hAnsi="Arial" w:cs="Arial"/>
          <w:i/>
          <w:sz w:val="22"/>
          <w:szCs w:val="22"/>
        </w:rPr>
        <w:t xml:space="preserve"> 2019</w:t>
      </w:r>
      <w:r w:rsidR="0034619F" w:rsidRPr="00A31387">
        <w:rPr>
          <w:rFonts w:ascii="Arial" w:hAnsi="Arial" w:cs="Arial"/>
          <w:i/>
          <w:sz w:val="22"/>
          <w:szCs w:val="22"/>
        </w:rPr>
        <w:t xml:space="preserve"> dovranno </w:t>
      </w:r>
      <w:r w:rsidR="003F72D0" w:rsidRPr="00A31387">
        <w:rPr>
          <w:rFonts w:ascii="Arial" w:hAnsi="Arial" w:cs="Arial"/>
          <w:i/>
          <w:sz w:val="22"/>
          <w:szCs w:val="22"/>
        </w:rPr>
        <w:t>inserire</w:t>
      </w:r>
      <w:r w:rsidR="0034619F" w:rsidRPr="00A31387">
        <w:rPr>
          <w:rFonts w:ascii="Arial" w:hAnsi="Arial" w:cs="Arial"/>
          <w:i/>
          <w:sz w:val="22"/>
          <w:szCs w:val="22"/>
        </w:rPr>
        <w:t xml:space="preserve"> </w:t>
      </w:r>
      <w:r w:rsidR="00586314" w:rsidRPr="00BB5911">
        <w:rPr>
          <w:rFonts w:ascii="Arial" w:hAnsi="Arial" w:cs="Arial"/>
          <w:i/>
          <w:sz w:val="22"/>
          <w:szCs w:val="22"/>
          <w:u w:val="single"/>
        </w:rPr>
        <w:t xml:space="preserve">MAX 4 </w:t>
      </w:r>
      <w:r w:rsidR="0020260F" w:rsidRPr="00BB5911">
        <w:rPr>
          <w:rFonts w:ascii="Arial" w:hAnsi="Arial" w:cs="Arial"/>
          <w:i/>
          <w:sz w:val="22"/>
          <w:szCs w:val="22"/>
          <w:u w:val="single"/>
        </w:rPr>
        <w:t xml:space="preserve">PUBBLICAZIONI per </w:t>
      </w:r>
      <w:r w:rsidR="0086699F" w:rsidRPr="00BB5911">
        <w:rPr>
          <w:rFonts w:ascii="Arial" w:hAnsi="Arial" w:cs="Arial"/>
          <w:i/>
          <w:sz w:val="22"/>
          <w:szCs w:val="22"/>
          <w:u w:val="single"/>
        </w:rPr>
        <w:t>il</w:t>
      </w:r>
      <w:r w:rsidR="00BB5911" w:rsidRPr="00BB5911">
        <w:rPr>
          <w:rFonts w:ascii="Arial" w:hAnsi="Arial" w:cs="Arial"/>
          <w:i/>
          <w:sz w:val="22"/>
          <w:szCs w:val="22"/>
          <w:u w:val="single"/>
        </w:rPr>
        <w:t xml:space="preserve"> periodo 2019-2021 </w:t>
      </w:r>
      <w:r w:rsidR="003F72D0" w:rsidRPr="00BB5911">
        <w:rPr>
          <w:rFonts w:ascii="Arial" w:hAnsi="Arial" w:cs="Arial"/>
          <w:i/>
          <w:sz w:val="22"/>
          <w:szCs w:val="22"/>
        </w:rPr>
        <w:t>nello</w:t>
      </w:r>
      <w:r w:rsidR="003F72D0" w:rsidRPr="00A31387">
        <w:rPr>
          <w:rFonts w:ascii="Arial" w:hAnsi="Arial" w:cs="Arial"/>
          <w:i/>
          <w:sz w:val="22"/>
          <w:szCs w:val="22"/>
        </w:rPr>
        <w:t xml:space="preserve"> schema</w:t>
      </w:r>
      <w:r w:rsidRPr="00A31387">
        <w:rPr>
          <w:rFonts w:ascii="Arial" w:hAnsi="Arial" w:cs="Arial"/>
          <w:i/>
          <w:sz w:val="22"/>
          <w:szCs w:val="22"/>
        </w:rPr>
        <w:t xml:space="preserve"> “Scheda pubblicazioni”.</w:t>
      </w:r>
    </w:p>
    <w:bookmarkEnd w:id="0"/>
    <w:p w14:paraId="6A05A809" w14:textId="77777777" w:rsidR="00EC008C" w:rsidRPr="00CF3507" w:rsidRDefault="00EC008C" w:rsidP="0034619F">
      <w:pPr>
        <w:jc w:val="both"/>
        <w:rPr>
          <w:rFonts w:ascii="Arial" w:hAnsi="Arial" w:cs="Arial"/>
          <w:i/>
          <w:sz w:val="22"/>
          <w:szCs w:val="22"/>
          <w:highlight w:val="yellow"/>
        </w:rPr>
      </w:pPr>
    </w:p>
    <w:p w14:paraId="62C07621" w14:textId="75D66828" w:rsidR="0086699F" w:rsidRPr="00785137" w:rsidRDefault="0086699F" w:rsidP="0086699F">
      <w:pPr>
        <w:spacing w:line="360" w:lineRule="auto"/>
        <w:jc w:val="both"/>
        <w:rPr>
          <w:rFonts w:ascii="Arial" w:hAnsi="Arial" w:cs="Arial"/>
          <w:i/>
          <w:sz w:val="22"/>
          <w:szCs w:val="22"/>
          <w:u w:val="single"/>
        </w:rPr>
      </w:pPr>
      <w:r w:rsidRPr="00A31387">
        <w:rPr>
          <w:rFonts w:ascii="Arial" w:hAnsi="Arial" w:cs="Arial"/>
          <w:i/>
          <w:sz w:val="22"/>
          <w:szCs w:val="22"/>
        </w:rPr>
        <w:t xml:space="preserve">I richiedenti che </w:t>
      </w:r>
      <w:r w:rsidRPr="0086699F">
        <w:rPr>
          <w:rFonts w:ascii="Arial" w:hAnsi="Arial" w:cs="Arial"/>
          <w:b/>
          <w:i/>
          <w:sz w:val="22"/>
          <w:szCs w:val="22"/>
          <w:u w:val="single"/>
        </w:rPr>
        <w:t>non sono mai stati sottoposti a VRA</w:t>
      </w:r>
      <w:r w:rsidRPr="00A31387">
        <w:rPr>
          <w:rFonts w:ascii="Arial" w:hAnsi="Arial" w:cs="Arial"/>
          <w:i/>
          <w:sz w:val="22"/>
          <w:szCs w:val="22"/>
        </w:rPr>
        <w:t xml:space="preserve"> dovranno inserire </w:t>
      </w:r>
      <w:r w:rsidRPr="006B0327">
        <w:rPr>
          <w:rFonts w:ascii="Arial" w:hAnsi="Arial" w:cs="Arial"/>
          <w:i/>
          <w:sz w:val="22"/>
          <w:szCs w:val="22"/>
          <w:u w:val="single"/>
        </w:rPr>
        <w:t>MAX</w:t>
      </w:r>
      <w:r w:rsidR="00785137">
        <w:rPr>
          <w:rFonts w:ascii="Arial" w:hAnsi="Arial" w:cs="Arial"/>
          <w:i/>
          <w:sz w:val="22"/>
          <w:szCs w:val="22"/>
          <w:u w:val="single"/>
        </w:rPr>
        <w:t xml:space="preserve"> 12 PUBBLICAZIONI per </w:t>
      </w:r>
      <w:r w:rsidR="00BB5911">
        <w:rPr>
          <w:rFonts w:ascii="Arial" w:hAnsi="Arial" w:cs="Arial"/>
          <w:i/>
          <w:sz w:val="22"/>
          <w:szCs w:val="22"/>
          <w:u w:val="single"/>
        </w:rPr>
        <w:t>il periodo 2015-</w:t>
      </w:r>
      <w:r w:rsidR="0008273B">
        <w:rPr>
          <w:rFonts w:ascii="Arial" w:hAnsi="Arial" w:cs="Arial"/>
          <w:i/>
          <w:sz w:val="22"/>
          <w:szCs w:val="22"/>
          <w:u w:val="single"/>
        </w:rPr>
        <w:t>2021</w:t>
      </w:r>
      <w:r w:rsidRPr="006B0327">
        <w:rPr>
          <w:rFonts w:ascii="Arial" w:hAnsi="Arial" w:cs="Arial"/>
          <w:i/>
          <w:sz w:val="22"/>
          <w:szCs w:val="22"/>
          <w:u w:val="single"/>
        </w:rPr>
        <w:t xml:space="preserve"> </w:t>
      </w:r>
      <w:r w:rsidRPr="006B0327">
        <w:rPr>
          <w:rFonts w:ascii="Arial" w:hAnsi="Arial" w:cs="Arial"/>
          <w:i/>
          <w:sz w:val="22"/>
          <w:szCs w:val="22"/>
        </w:rPr>
        <w:t>nello</w:t>
      </w:r>
      <w:r w:rsidRPr="00A31387">
        <w:rPr>
          <w:rFonts w:ascii="Arial" w:hAnsi="Arial" w:cs="Arial"/>
          <w:i/>
          <w:sz w:val="22"/>
          <w:szCs w:val="22"/>
        </w:rPr>
        <w:t xml:space="preserve"> schema “Scheda pubblicazioni”.</w:t>
      </w:r>
    </w:p>
    <w:p w14:paraId="72A3D3EC" w14:textId="77777777" w:rsidR="001013F9" w:rsidRPr="00381E80" w:rsidRDefault="001013F9" w:rsidP="001013F9">
      <w:pPr>
        <w:jc w:val="both"/>
        <w:rPr>
          <w:rFonts w:ascii="Tahoma" w:hAnsi="Tahoma" w:cs="Tahoma"/>
          <w:b/>
          <w:sz w:val="22"/>
          <w:szCs w:val="22"/>
          <w:u w:val="single"/>
        </w:rPr>
      </w:pPr>
    </w:p>
    <w:p w14:paraId="468807E3" w14:textId="117426EC" w:rsidR="002C24ED" w:rsidRPr="002C6C19" w:rsidRDefault="00362D45" w:rsidP="00362D45">
      <w:pPr>
        <w:spacing w:line="360" w:lineRule="auto"/>
        <w:ind w:left="60"/>
        <w:jc w:val="both"/>
        <w:rPr>
          <w:rFonts w:ascii="Arial" w:hAnsi="Arial" w:cs="Arial"/>
          <w:b/>
          <w:bCs/>
          <w:sz w:val="22"/>
          <w:szCs w:val="22"/>
        </w:rPr>
      </w:pPr>
      <w:r>
        <w:rPr>
          <w:rFonts w:ascii="Arial" w:hAnsi="Arial" w:cs="Arial"/>
          <w:sz w:val="22"/>
          <w:szCs w:val="22"/>
        </w:rPr>
        <w:t xml:space="preserve">X    </w:t>
      </w:r>
      <w:r w:rsidR="002C24ED" w:rsidRPr="002C6C19">
        <w:rPr>
          <w:rFonts w:ascii="Arial" w:hAnsi="Arial" w:cs="Arial"/>
          <w:b/>
          <w:bCs/>
          <w:sz w:val="22"/>
          <w:szCs w:val="22"/>
        </w:rPr>
        <w:t>Nuovo</w:t>
      </w:r>
    </w:p>
    <w:p w14:paraId="544BE619" w14:textId="77777777" w:rsidR="002C24ED" w:rsidRPr="00F41DDA" w:rsidRDefault="002C24ED" w:rsidP="00EB050C">
      <w:pPr>
        <w:numPr>
          <w:ilvl w:val="0"/>
          <w:numId w:val="4"/>
        </w:numPr>
        <w:spacing w:line="360" w:lineRule="auto"/>
        <w:jc w:val="both"/>
        <w:rPr>
          <w:rFonts w:ascii="Arial" w:hAnsi="Arial" w:cs="Arial"/>
          <w:sz w:val="22"/>
          <w:szCs w:val="22"/>
        </w:rPr>
      </w:pPr>
      <w:r w:rsidRPr="00F41DDA">
        <w:rPr>
          <w:rFonts w:ascii="Arial" w:hAnsi="Arial" w:cs="Arial"/>
          <w:sz w:val="22"/>
          <w:szCs w:val="22"/>
        </w:rPr>
        <w:t>rinnovo dott. ____________________________ in scadenza il_____________</w:t>
      </w:r>
    </w:p>
    <w:p w14:paraId="0D0B940D" w14:textId="77777777" w:rsidR="00283018" w:rsidRPr="00F41DDA" w:rsidRDefault="00283018" w:rsidP="00283018">
      <w:pPr>
        <w:spacing w:line="360" w:lineRule="auto"/>
        <w:jc w:val="both"/>
        <w:rPr>
          <w:rFonts w:ascii="Arial" w:hAnsi="Arial" w:cs="Arial"/>
          <w:i/>
          <w:sz w:val="22"/>
          <w:szCs w:val="22"/>
        </w:rPr>
      </w:pPr>
    </w:p>
    <w:p w14:paraId="0A116815" w14:textId="7F7CD7DC" w:rsidR="002C24ED" w:rsidRPr="00F41DDA" w:rsidRDefault="002C24ED" w:rsidP="0024521A">
      <w:pPr>
        <w:numPr>
          <w:ilvl w:val="0"/>
          <w:numId w:val="1"/>
        </w:numPr>
        <w:overflowPunct/>
        <w:autoSpaceDE/>
        <w:autoSpaceDN/>
        <w:adjustRightInd/>
        <w:spacing w:line="360" w:lineRule="auto"/>
        <w:jc w:val="both"/>
        <w:textAlignment w:val="auto"/>
        <w:rPr>
          <w:rFonts w:ascii="Arial" w:hAnsi="Arial" w:cs="Arial"/>
          <w:sz w:val="22"/>
          <w:szCs w:val="22"/>
        </w:rPr>
      </w:pPr>
      <w:proofErr w:type="gramStart"/>
      <w:r w:rsidRPr="00F41DDA">
        <w:rPr>
          <w:rFonts w:ascii="Arial" w:hAnsi="Arial" w:cs="Arial"/>
          <w:sz w:val="22"/>
          <w:szCs w:val="22"/>
        </w:rPr>
        <w:t xml:space="preserve">durata  </w:t>
      </w:r>
      <w:r w:rsidR="00362D45" w:rsidRPr="002C6C19">
        <w:rPr>
          <w:rFonts w:ascii="Arial" w:hAnsi="Arial" w:cs="Arial"/>
          <w:b/>
          <w:bCs/>
          <w:sz w:val="22"/>
          <w:szCs w:val="22"/>
        </w:rPr>
        <w:t>12</w:t>
      </w:r>
      <w:proofErr w:type="gramEnd"/>
      <w:r w:rsidRPr="002C6C19">
        <w:rPr>
          <w:rFonts w:ascii="Arial" w:hAnsi="Arial" w:cs="Arial"/>
          <w:b/>
          <w:bCs/>
          <w:sz w:val="22"/>
          <w:szCs w:val="22"/>
        </w:rPr>
        <w:t xml:space="preserve"> mesi</w:t>
      </w:r>
    </w:p>
    <w:p w14:paraId="07A721E0" w14:textId="15CE5092" w:rsidR="00E11A65" w:rsidRPr="00E11A65" w:rsidRDefault="002C24ED" w:rsidP="0024521A">
      <w:pPr>
        <w:numPr>
          <w:ilvl w:val="0"/>
          <w:numId w:val="1"/>
        </w:numPr>
        <w:overflowPunct/>
        <w:autoSpaceDE/>
        <w:autoSpaceDN/>
        <w:adjustRightInd/>
        <w:spacing w:line="360" w:lineRule="auto"/>
        <w:jc w:val="both"/>
        <w:textAlignment w:val="auto"/>
        <w:rPr>
          <w:rFonts w:ascii="Arial" w:hAnsi="Arial" w:cs="Arial"/>
          <w:sz w:val="22"/>
          <w:szCs w:val="22"/>
        </w:rPr>
      </w:pPr>
      <w:r w:rsidRPr="00E11A65">
        <w:rPr>
          <w:rFonts w:ascii="Arial" w:hAnsi="Arial" w:cs="Arial"/>
          <w:sz w:val="22"/>
          <w:szCs w:val="22"/>
        </w:rPr>
        <w:t>titolo del</w:t>
      </w:r>
      <w:r w:rsidR="0073168B" w:rsidRPr="00E11A65">
        <w:rPr>
          <w:rFonts w:ascii="Arial" w:hAnsi="Arial" w:cs="Arial"/>
          <w:sz w:val="22"/>
          <w:szCs w:val="22"/>
        </w:rPr>
        <w:t xml:space="preserve"> progetto</w:t>
      </w:r>
      <w:r w:rsidRPr="00E11A65">
        <w:rPr>
          <w:rFonts w:ascii="Arial" w:hAnsi="Arial" w:cs="Arial"/>
          <w:sz w:val="22"/>
          <w:szCs w:val="22"/>
        </w:rPr>
        <w:t xml:space="preserve"> di ricerca </w:t>
      </w:r>
      <w:r w:rsidRPr="00E11A65">
        <w:rPr>
          <w:rFonts w:ascii="Arial" w:hAnsi="Arial" w:cs="Arial"/>
          <w:i/>
          <w:sz w:val="22"/>
          <w:szCs w:val="22"/>
        </w:rPr>
        <w:t>“</w:t>
      </w:r>
      <w:r w:rsidR="00362D45" w:rsidRPr="002C6C19">
        <w:rPr>
          <w:rFonts w:ascii="Arial" w:hAnsi="Arial" w:cs="Arial"/>
          <w:b/>
          <w:bCs/>
          <w:i/>
          <w:sz w:val="22"/>
          <w:szCs w:val="22"/>
        </w:rPr>
        <w:t xml:space="preserve">Sviluppo preclinico di </w:t>
      </w:r>
      <w:r w:rsidR="00745351" w:rsidRPr="002C6C19">
        <w:rPr>
          <w:rFonts w:ascii="Arial" w:hAnsi="Arial" w:cs="Arial"/>
          <w:b/>
          <w:bCs/>
          <w:i/>
          <w:sz w:val="22"/>
          <w:szCs w:val="22"/>
        </w:rPr>
        <w:t xml:space="preserve">un </w:t>
      </w:r>
      <w:r w:rsidR="00362D45" w:rsidRPr="002C6C19">
        <w:rPr>
          <w:rFonts w:ascii="Arial" w:hAnsi="Arial" w:cs="Arial"/>
          <w:b/>
          <w:bCs/>
          <w:i/>
          <w:sz w:val="22"/>
          <w:szCs w:val="22"/>
        </w:rPr>
        <w:t>agonist</w:t>
      </w:r>
      <w:r w:rsidR="00745351" w:rsidRPr="002C6C19">
        <w:rPr>
          <w:rFonts w:ascii="Arial" w:hAnsi="Arial" w:cs="Arial"/>
          <w:b/>
          <w:bCs/>
          <w:i/>
          <w:sz w:val="22"/>
          <w:szCs w:val="22"/>
        </w:rPr>
        <w:t>a</w:t>
      </w:r>
      <w:r w:rsidR="00362D45" w:rsidRPr="002C6C19">
        <w:rPr>
          <w:rFonts w:ascii="Arial" w:hAnsi="Arial" w:cs="Arial"/>
          <w:b/>
          <w:bCs/>
          <w:i/>
          <w:sz w:val="22"/>
          <w:szCs w:val="22"/>
        </w:rPr>
        <w:t xml:space="preserve"> dei recettori delle </w:t>
      </w:r>
      <w:proofErr w:type="spellStart"/>
      <w:r w:rsidR="00362D45" w:rsidRPr="002C6C19">
        <w:rPr>
          <w:rFonts w:ascii="Arial" w:hAnsi="Arial" w:cs="Arial"/>
          <w:b/>
          <w:bCs/>
          <w:i/>
          <w:sz w:val="22"/>
          <w:szCs w:val="22"/>
        </w:rPr>
        <w:t>orexine</w:t>
      </w:r>
      <w:proofErr w:type="spellEnd"/>
      <w:r w:rsidR="00F4572F" w:rsidRPr="002C6C19">
        <w:rPr>
          <w:rFonts w:ascii="Arial" w:hAnsi="Arial" w:cs="Arial"/>
          <w:b/>
          <w:bCs/>
          <w:i/>
          <w:sz w:val="22"/>
          <w:szCs w:val="22"/>
        </w:rPr>
        <w:t xml:space="preserve"> per la terapia della narcolessia di tipo 1</w:t>
      </w:r>
      <w:r w:rsidRPr="00E11A65">
        <w:rPr>
          <w:rFonts w:ascii="Arial" w:hAnsi="Arial" w:cs="Arial"/>
          <w:i/>
          <w:sz w:val="22"/>
          <w:szCs w:val="22"/>
        </w:rPr>
        <w:t>”</w:t>
      </w:r>
    </w:p>
    <w:p w14:paraId="0EE8BB2F" w14:textId="3916B0D5" w:rsidR="00E11A65" w:rsidRPr="00763D7F" w:rsidRDefault="00E11A65" w:rsidP="0024521A">
      <w:pPr>
        <w:numPr>
          <w:ilvl w:val="0"/>
          <w:numId w:val="1"/>
        </w:numPr>
        <w:overflowPunct/>
        <w:autoSpaceDE/>
        <w:autoSpaceDN/>
        <w:adjustRightInd/>
        <w:spacing w:line="360" w:lineRule="auto"/>
        <w:jc w:val="both"/>
        <w:textAlignment w:val="auto"/>
        <w:rPr>
          <w:rFonts w:ascii="Arial" w:hAnsi="Arial" w:cs="Arial"/>
          <w:sz w:val="22"/>
          <w:szCs w:val="22"/>
        </w:rPr>
      </w:pPr>
      <w:r w:rsidRPr="00763D7F">
        <w:rPr>
          <w:rFonts w:ascii="Arial" w:hAnsi="Arial" w:cs="Arial"/>
          <w:i/>
          <w:sz w:val="22"/>
          <w:szCs w:val="22"/>
        </w:rPr>
        <w:t xml:space="preserve">attività assistenziale       </w:t>
      </w:r>
      <w:r w:rsidR="00362D45">
        <w:rPr>
          <w:rFonts w:ascii="Arial" w:hAnsi="Arial" w:cs="Arial"/>
          <w:b/>
          <w:i/>
          <w:sz w:val="22"/>
          <w:szCs w:val="22"/>
        </w:rPr>
        <w:t>X</w:t>
      </w:r>
      <w:r w:rsidRPr="00763D7F">
        <w:rPr>
          <w:rFonts w:ascii="Arial" w:hAnsi="Arial" w:cs="Arial"/>
          <w:b/>
          <w:i/>
          <w:sz w:val="22"/>
          <w:szCs w:val="22"/>
        </w:rPr>
        <w:t xml:space="preserve"> </w:t>
      </w:r>
      <w:r w:rsidRPr="002C6C19">
        <w:rPr>
          <w:rFonts w:ascii="Arial" w:hAnsi="Arial" w:cs="Arial"/>
          <w:b/>
          <w:bCs/>
          <w:i/>
          <w:sz w:val="22"/>
          <w:szCs w:val="22"/>
        </w:rPr>
        <w:t>NO</w:t>
      </w:r>
      <w:r w:rsidRPr="00763D7F">
        <w:rPr>
          <w:rFonts w:ascii="Arial" w:hAnsi="Arial" w:cs="Arial"/>
          <w:i/>
          <w:sz w:val="22"/>
          <w:szCs w:val="22"/>
        </w:rPr>
        <w:t xml:space="preserve">                       </w:t>
      </w:r>
      <w:proofErr w:type="gramStart"/>
      <w:r w:rsidRPr="00763D7F">
        <w:rPr>
          <w:rFonts w:ascii="Arial" w:hAnsi="Arial" w:cs="Arial"/>
          <w:i/>
          <w:sz w:val="22"/>
          <w:szCs w:val="22"/>
        </w:rPr>
        <w:t>□  SI</w:t>
      </w:r>
      <w:proofErr w:type="gramEnd"/>
      <w:r w:rsidRPr="00763D7F">
        <w:rPr>
          <w:rFonts w:ascii="Arial" w:hAnsi="Arial" w:cs="Arial"/>
          <w:i/>
          <w:sz w:val="22"/>
          <w:szCs w:val="22"/>
        </w:rPr>
        <w:t xml:space="preserve">’ </w:t>
      </w:r>
      <w:r w:rsidR="00E47570">
        <w:rPr>
          <w:rFonts w:ascii="Arial" w:hAnsi="Arial" w:cs="Arial"/>
          <w:i/>
          <w:sz w:val="22"/>
          <w:szCs w:val="22"/>
        </w:rPr>
        <w:t>(indicare l’azienda di riferimento)</w:t>
      </w:r>
      <w:r w:rsidR="00E47570" w:rsidRPr="00763D7F">
        <w:rPr>
          <w:rFonts w:ascii="Arial" w:hAnsi="Arial" w:cs="Arial"/>
          <w:i/>
          <w:sz w:val="22"/>
          <w:szCs w:val="22"/>
        </w:rPr>
        <w:t xml:space="preserve"> </w:t>
      </w:r>
    </w:p>
    <w:p w14:paraId="437432AF" w14:textId="492B9183" w:rsidR="002C24ED" w:rsidRPr="00E11A65" w:rsidRDefault="002C24ED" w:rsidP="0024521A">
      <w:pPr>
        <w:numPr>
          <w:ilvl w:val="0"/>
          <w:numId w:val="1"/>
        </w:numPr>
        <w:overflowPunct/>
        <w:autoSpaceDE/>
        <w:autoSpaceDN/>
        <w:adjustRightInd/>
        <w:spacing w:line="360" w:lineRule="auto"/>
        <w:jc w:val="both"/>
        <w:textAlignment w:val="auto"/>
        <w:rPr>
          <w:rFonts w:ascii="Arial" w:hAnsi="Arial" w:cs="Arial"/>
          <w:sz w:val="22"/>
          <w:szCs w:val="22"/>
        </w:rPr>
      </w:pPr>
      <w:r w:rsidRPr="00E11A65">
        <w:rPr>
          <w:rFonts w:ascii="Arial" w:hAnsi="Arial" w:cs="Arial"/>
          <w:sz w:val="22"/>
          <w:szCs w:val="22"/>
        </w:rPr>
        <w:t xml:space="preserve">costo totale lordo </w:t>
      </w:r>
      <w:proofErr w:type="gramStart"/>
      <w:r w:rsidRPr="00E11A65">
        <w:rPr>
          <w:rFonts w:ascii="Arial" w:hAnsi="Arial" w:cs="Arial"/>
          <w:sz w:val="22"/>
          <w:szCs w:val="22"/>
        </w:rPr>
        <w:t>previsto</w:t>
      </w:r>
      <w:r w:rsidR="00E30538">
        <w:rPr>
          <w:rFonts w:ascii="Arial" w:hAnsi="Arial" w:cs="Arial"/>
          <w:sz w:val="22"/>
          <w:szCs w:val="22"/>
        </w:rPr>
        <w:t xml:space="preserve">: </w:t>
      </w:r>
      <w:r w:rsidRPr="00E11A65">
        <w:rPr>
          <w:rFonts w:ascii="Arial" w:hAnsi="Arial" w:cs="Arial"/>
          <w:sz w:val="22"/>
          <w:szCs w:val="22"/>
        </w:rPr>
        <w:t xml:space="preserve"> </w:t>
      </w:r>
      <w:r w:rsidR="00362D45" w:rsidRPr="002C6C19">
        <w:rPr>
          <w:rFonts w:ascii="Arial" w:hAnsi="Arial" w:cs="Arial"/>
          <w:b/>
          <w:bCs/>
          <w:sz w:val="22"/>
          <w:szCs w:val="22"/>
        </w:rPr>
        <w:t>24000</w:t>
      </w:r>
      <w:proofErr w:type="gramEnd"/>
      <w:r w:rsidR="00E30538">
        <w:rPr>
          <w:rFonts w:ascii="Arial" w:hAnsi="Arial" w:cs="Arial"/>
          <w:sz w:val="22"/>
          <w:szCs w:val="22"/>
        </w:rPr>
        <w:t xml:space="preserve"> Euro</w:t>
      </w:r>
    </w:p>
    <w:p w14:paraId="0E27B00A" w14:textId="77777777" w:rsidR="0024521A" w:rsidRPr="00F41DDA" w:rsidRDefault="0024521A" w:rsidP="0024521A">
      <w:pPr>
        <w:overflowPunct/>
        <w:autoSpaceDE/>
        <w:autoSpaceDN/>
        <w:adjustRightInd/>
        <w:ind w:left="420"/>
        <w:jc w:val="both"/>
        <w:textAlignment w:val="auto"/>
        <w:rPr>
          <w:rFonts w:ascii="Arial" w:hAnsi="Arial" w:cs="Arial"/>
          <w:sz w:val="22"/>
          <w:szCs w:val="22"/>
        </w:rPr>
      </w:pPr>
    </w:p>
    <w:p w14:paraId="57953C4B" w14:textId="0ECB2614" w:rsidR="00C938B5" w:rsidRDefault="00CA0595" w:rsidP="00C938B5">
      <w:pPr>
        <w:numPr>
          <w:ilvl w:val="0"/>
          <w:numId w:val="1"/>
        </w:numPr>
        <w:overflowPunct/>
        <w:autoSpaceDE/>
        <w:autoSpaceDN/>
        <w:adjustRightInd/>
        <w:jc w:val="both"/>
        <w:textAlignment w:val="auto"/>
        <w:rPr>
          <w:rFonts w:ascii="Arial" w:hAnsi="Arial" w:cs="Arial"/>
          <w:sz w:val="22"/>
          <w:szCs w:val="22"/>
        </w:rPr>
      </w:pPr>
      <w:r w:rsidRPr="00F41DDA">
        <w:rPr>
          <w:rFonts w:ascii="Arial" w:hAnsi="Arial" w:cs="Arial"/>
          <w:sz w:val="22"/>
          <w:szCs w:val="22"/>
        </w:rPr>
        <w:t xml:space="preserve">finanziamento </w:t>
      </w:r>
      <w:r w:rsidR="0024521A" w:rsidRPr="00F41DDA">
        <w:rPr>
          <w:rFonts w:ascii="Arial" w:hAnsi="Arial" w:cs="Arial"/>
          <w:sz w:val="22"/>
          <w:szCs w:val="22"/>
        </w:rPr>
        <w:t>a disposizione del tutor</w:t>
      </w:r>
      <w:r w:rsidR="00DC0746" w:rsidRPr="00F41DDA">
        <w:rPr>
          <w:rFonts w:ascii="Arial" w:hAnsi="Arial" w:cs="Arial"/>
          <w:sz w:val="22"/>
          <w:szCs w:val="22"/>
        </w:rPr>
        <w:t xml:space="preserve"> (</w:t>
      </w:r>
      <w:r w:rsidR="00DC0746" w:rsidRPr="00F41DDA">
        <w:rPr>
          <w:rFonts w:ascii="Arial" w:hAnsi="Arial" w:cs="Arial"/>
          <w:color w:val="000000"/>
          <w:sz w:val="22"/>
          <w:szCs w:val="22"/>
        </w:rPr>
        <w:t>quota minima pari a 6 mensilit</w:t>
      </w:r>
      <w:r w:rsidR="00283018" w:rsidRPr="00F41DDA">
        <w:rPr>
          <w:rFonts w:ascii="Arial" w:hAnsi="Arial" w:cs="Arial"/>
          <w:color w:val="000000"/>
          <w:sz w:val="22"/>
          <w:szCs w:val="22"/>
        </w:rPr>
        <w:t>à</w:t>
      </w:r>
      <w:r w:rsidR="00DC0746" w:rsidRPr="00F41DDA">
        <w:rPr>
          <w:rFonts w:ascii="Arial" w:hAnsi="Arial" w:cs="Arial"/>
          <w:color w:val="000000"/>
          <w:sz w:val="22"/>
          <w:szCs w:val="22"/>
        </w:rPr>
        <w:t xml:space="preserve">/anno) </w:t>
      </w:r>
      <w:r w:rsidR="00E30538" w:rsidRPr="002C6C19">
        <w:rPr>
          <w:rFonts w:ascii="Arial" w:hAnsi="Arial" w:cs="Arial"/>
          <w:b/>
          <w:bCs/>
          <w:sz w:val="22"/>
          <w:szCs w:val="22"/>
        </w:rPr>
        <w:t xml:space="preserve">12000 </w:t>
      </w:r>
      <w:proofErr w:type="gramStart"/>
      <w:r w:rsidR="00E30538" w:rsidRPr="002C6C19">
        <w:rPr>
          <w:rFonts w:ascii="Arial" w:hAnsi="Arial" w:cs="Arial"/>
          <w:b/>
          <w:bCs/>
          <w:sz w:val="22"/>
          <w:szCs w:val="22"/>
        </w:rPr>
        <w:t>Euro</w:t>
      </w:r>
      <w:r w:rsidRPr="00F41DDA">
        <w:rPr>
          <w:rFonts w:ascii="Arial" w:hAnsi="Arial" w:cs="Arial"/>
          <w:sz w:val="22"/>
          <w:szCs w:val="22"/>
        </w:rPr>
        <w:t xml:space="preserve"> </w:t>
      </w:r>
      <w:r w:rsidR="00871703" w:rsidRPr="00F41DDA">
        <w:rPr>
          <w:rFonts w:ascii="Arial" w:hAnsi="Arial" w:cs="Arial"/>
          <w:sz w:val="22"/>
          <w:szCs w:val="22"/>
        </w:rPr>
        <w:t xml:space="preserve"> </w:t>
      </w:r>
      <w:r w:rsidRPr="00F41DDA">
        <w:rPr>
          <w:rFonts w:ascii="Arial" w:hAnsi="Arial" w:cs="Arial"/>
          <w:sz w:val="22"/>
          <w:szCs w:val="22"/>
        </w:rPr>
        <w:t>su</w:t>
      </w:r>
      <w:proofErr w:type="gramEnd"/>
      <w:r w:rsidRPr="00F41DDA">
        <w:rPr>
          <w:rFonts w:ascii="Arial" w:hAnsi="Arial" w:cs="Arial"/>
          <w:sz w:val="22"/>
          <w:szCs w:val="22"/>
        </w:rPr>
        <w:t xml:space="preserve"> fondi </w:t>
      </w:r>
      <w:r w:rsidR="0024521A" w:rsidRPr="00F41DDA">
        <w:rPr>
          <w:rFonts w:ascii="Arial" w:hAnsi="Arial" w:cs="Arial"/>
          <w:sz w:val="22"/>
          <w:szCs w:val="22"/>
        </w:rPr>
        <w:t>(indicare la tipologia dei fondi e</w:t>
      </w:r>
      <w:r w:rsidR="00615538" w:rsidRPr="00F41DDA">
        <w:rPr>
          <w:rFonts w:ascii="Arial" w:hAnsi="Arial" w:cs="Arial"/>
          <w:sz w:val="22"/>
          <w:szCs w:val="22"/>
        </w:rPr>
        <w:t>,</w:t>
      </w:r>
      <w:r w:rsidR="0024521A" w:rsidRPr="00F41DDA">
        <w:rPr>
          <w:rFonts w:ascii="Arial" w:hAnsi="Arial" w:cs="Arial"/>
          <w:sz w:val="22"/>
          <w:szCs w:val="22"/>
        </w:rPr>
        <w:t xml:space="preserve"> se possibile</w:t>
      </w:r>
      <w:r w:rsidR="00615538" w:rsidRPr="00F41DDA">
        <w:rPr>
          <w:rFonts w:ascii="Arial" w:hAnsi="Arial" w:cs="Arial"/>
          <w:sz w:val="22"/>
          <w:szCs w:val="22"/>
        </w:rPr>
        <w:t>,</w:t>
      </w:r>
      <w:r w:rsidR="0024521A" w:rsidRPr="00F41DDA">
        <w:rPr>
          <w:rFonts w:ascii="Arial" w:hAnsi="Arial" w:cs="Arial"/>
          <w:sz w:val="22"/>
          <w:szCs w:val="22"/>
        </w:rPr>
        <w:t xml:space="preserve"> il codice progetto</w:t>
      </w:r>
      <w:r w:rsidR="00E47570">
        <w:rPr>
          <w:rFonts w:ascii="Arial" w:hAnsi="Arial" w:cs="Arial"/>
          <w:sz w:val="22"/>
          <w:szCs w:val="22"/>
        </w:rPr>
        <w:t xml:space="preserve">. In caso di finanziamenti in via di acquisizione </w:t>
      </w:r>
      <w:proofErr w:type="gramStart"/>
      <w:r w:rsidR="00E47570">
        <w:rPr>
          <w:rFonts w:ascii="Arial" w:hAnsi="Arial" w:cs="Arial"/>
          <w:sz w:val="22"/>
          <w:szCs w:val="22"/>
        </w:rPr>
        <w:t>allegare  lettera</w:t>
      </w:r>
      <w:proofErr w:type="gramEnd"/>
      <w:r w:rsidR="00E47570">
        <w:rPr>
          <w:rFonts w:ascii="Arial" w:hAnsi="Arial" w:cs="Arial"/>
          <w:sz w:val="22"/>
          <w:szCs w:val="22"/>
        </w:rPr>
        <w:t xml:space="preserve"> di intenti</w:t>
      </w:r>
      <w:r w:rsidR="0024521A" w:rsidRPr="00F41DDA">
        <w:rPr>
          <w:rFonts w:ascii="Arial" w:hAnsi="Arial" w:cs="Arial"/>
          <w:sz w:val="22"/>
          <w:szCs w:val="22"/>
        </w:rPr>
        <w:t xml:space="preserve">) </w:t>
      </w:r>
    </w:p>
    <w:p w14:paraId="22808FBB" w14:textId="77777777" w:rsidR="002C6C19" w:rsidRPr="00C938B5" w:rsidRDefault="002C6C19" w:rsidP="002C6C19">
      <w:pPr>
        <w:overflowPunct/>
        <w:autoSpaceDE/>
        <w:autoSpaceDN/>
        <w:adjustRightInd/>
        <w:ind w:left="420"/>
        <w:jc w:val="both"/>
        <w:textAlignment w:val="auto"/>
        <w:rPr>
          <w:rFonts w:ascii="Arial" w:hAnsi="Arial" w:cs="Arial"/>
          <w:sz w:val="22"/>
          <w:szCs w:val="22"/>
        </w:rPr>
      </w:pPr>
    </w:p>
    <w:tbl>
      <w:tblPr>
        <w:tblStyle w:val="Grigliatabella"/>
        <w:tblW w:w="0" w:type="auto"/>
        <w:tblLook w:val="04A0" w:firstRow="1" w:lastRow="0" w:firstColumn="1" w:lastColumn="0" w:noHBand="0" w:noVBand="1"/>
      </w:tblPr>
      <w:tblGrid>
        <w:gridCol w:w="3114"/>
        <w:gridCol w:w="2551"/>
        <w:gridCol w:w="1701"/>
      </w:tblGrid>
      <w:tr w:rsidR="002C6C19" w:rsidRPr="002C6C19" w14:paraId="243F30D1" w14:textId="77777777" w:rsidTr="002C6C19">
        <w:trPr>
          <w:trHeight w:val="290"/>
        </w:trPr>
        <w:tc>
          <w:tcPr>
            <w:tcW w:w="3114" w:type="dxa"/>
            <w:noWrap/>
            <w:hideMark/>
          </w:tcPr>
          <w:p w14:paraId="1E355ED7" w14:textId="05E10613" w:rsidR="002C6C19" w:rsidRPr="002C6C19" w:rsidRDefault="002C6C19" w:rsidP="002C6C19">
            <w:pPr>
              <w:overflowPunct/>
              <w:autoSpaceDE/>
              <w:autoSpaceDN/>
              <w:adjustRightInd/>
              <w:ind w:left="60"/>
              <w:jc w:val="both"/>
              <w:textAlignment w:val="auto"/>
              <w:rPr>
                <w:rFonts w:ascii="Arial" w:hAnsi="Arial" w:cs="Arial"/>
                <w:b/>
                <w:bCs/>
                <w:sz w:val="22"/>
                <w:szCs w:val="22"/>
              </w:rPr>
            </w:pPr>
            <w:r w:rsidRPr="002C6C19">
              <w:rPr>
                <w:rFonts w:ascii="Arial" w:hAnsi="Arial" w:cs="Arial"/>
                <w:b/>
                <w:bCs/>
                <w:sz w:val="22"/>
                <w:szCs w:val="22"/>
              </w:rPr>
              <w:t>FONDO</w:t>
            </w:r>
          </w:p>
        </w:tc>
        <w:tc>
          <w:tcPr>
            <w:tcW w:w="2551" w:type="dxa"/>
            <w:noWrap/>
            <w:hideMark/>
          </w:tcPr>
          <w:p w14:paraId="00840F90" w14:textId="05324024" w:rsidR="002C6C19" w:rsidRPr="002C6C19" w:rsidRDefault="002C6C19" w:rsidP="002C6C19">
            <w:pPr>
              <w:overflowPunct/>
              <w:autoSpaceDE/>
              <w:autoSpaceDN/>
              <w:adjustRightInd/>
              <w:ind w:left="60"/>
              <w:jc w:val="both"/>
              <w:textAlignment w:val="auto"/>
              <w:rPr>
                <w:rFonts w:ascii="Arial" w:hAnsi="Arial" w:cs="Arial"/>
                <w:b/>
                <w:bCs/>
                <w:sz w:val="22"/>
                <w:szCs w:val="22"/>
              </w:rPr>
            </w:pPr>
            <w:r w:rsidRPr="002C6C19">
              <w:rPr>
                <w:rFonts w:ascii="Arial" w:hAnsi="Arial" w:cs="Arial"/>
                <w:b/>
                <w:bCs/>
                <w:sz w:val="22"/>
                <w:szCs w:val="22"/>
              </w:rPr>
              <w:t>TITOLARE</w:t>
            </w:r>
          </w:p>
        </w:tc>
        <w:tc>
          <w:tcPr>
            <w:tcW w:w="1701" w:type="dxa"/>
            <w:noWrap/>
            <w:hideMark/>
          </w:tcPr>
          <w:p w14:paraId="6555B64A" w14:textId="211C6C11" w:rsidR="002C6C19" w:rsidRPr="002C6C19" w:rsidRDefault="002C6C19" w:rsidP="002C6C19">
            <w:pPr>
              <w:overflowPunct/>
              <w:autoSpaceDE/>
              <w:autoSpaceDN/>
              <w:adjustRightInd/>
              <w:ind w:left="60"/>
              <w:jc w:val="both"/>
              <w:textAlignment w:val="auto"/>
              <w:rPr>
                <w:rFonts w:ascii="Arial" w:hAnsi="Arial" w:cs="Arial"/>
                <w:b/>
                <w:bCs/>
                <w:sz w:val="22"/>
                <w:szCs w:val="22"/>
              </w:rPr>
            </w:pPr>
            <w:r w:rsidRPr="002C6C19">
              <w:rPr>
                <w:rFonts w:ascii="Arial" w:hAnsi="Arial" w:cs="Arial"/>
                <w:b/>
                <w:bCs/>
                <w:sz w:val="22"/>
                <w:szCs w:val="22"/>
              </w:rPr>
              <w:t>Euro</w:t>
            </w:r>
          </w:p>
        </w:tc>
      </w:tr>
      <w:tr w:rsidR="002C6C19" w:rsidRPr="002C6C19" w14:paraId="62D67AA6" w14:textId="77777777" w:rsidTr="002C6C19">
        <w:trPr>
          <w:trHeight w:val="290"/>
        </w:trPr>
        <w:tc>
          <w:tcPr>
            <w:tcW w:w="3114" w:type="dxa"/>
            <w:noWrap/>
            <w:hideMark/>
          </w:tcPr>
          <w:p w14:paraId="27409180"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SILVANI 2020</w:t>
            </w:r>
          </w:p>
        </w:tc>
        <w:tc>
          <w:tcPr>
            <w:tcW w:w="2551" w:type="dxa"/>
            <w:noWrap/>
            <w:hideMark/>
          </w:tcPr>
          <w:p w14:paraId="731AB197"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Alessandro Silvani</w:t>
            </w:r>
          </w:p>
        </w:tc>
        <w:tc>
          <w:tcPr>
            <w:tcW w:w="1701" w:type="dxa"/>
            <w:noWrap/>
            <w:hideMark/>
          </w:tcPr>
          <w:p w14:paraId="621BE2BE"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2805</w:t>
            </w:r>
          </w:p>
        </w:tc>
      </w:tr>
      <w:tr w:rsidR="002C6C19" w:rsidRPr="002C6C19" w14:paraId="1CEAE605" w14:textId="77777777" w:rsidTr="002C6C19">
        <w:trPr>
          <w:trHeight w:val="290"/>
        </w:trPr>
        <w:tc>
          <w:tcPr>
            <w:tcW w:w="3114" w:type="dxa"/>
            <w:noWrap/>
            <w:hideMark/>
          </w:tcPr>
          <w:p w14:paraId="592C1429"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SILVANI 2021</w:t>
            </w:r>
          </w:p>
        </w:tc>
        <w:tc>
          <w:tcPr>
            <w:tcW w:w="2551" w:type="dxa"/>
            <w:noWrap/>
            <w:hideMark/>
          </w:tcPr>
          <w:p w14:paraId="0B0E4B47"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Alessandro Silvani</w:t>
            </w:r>
          </w:p>
        </w:tc>
        <w:tc>
          <w:tcPr>
            <w:tcW w:w="1701" w:type="dxa"/>
            <w:noWrap/>
            <w:hideMark/>
          </w:tcPr>
          <w:p w14:paraId="3E6AA93A"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2289</w:t>
            </w:r>
          </w:p>
        </w:tc>
      </w:tr>
      <w:tr w:rsidR="002C6C19" w:rsidRPr="002C6C19" w14:paraId="215CBE16" w14:textId="77777777" w:rsidTr="002C6C19">
        <w:trPr>
          <w:trHeight w:val="290"/>
        </w:trPr>
        <w:tc>
          <w:tcPr>
            <w:tcW w:w="3114" w:type="dxa"/>
            <w:noWrap/>
            <w:hideMark/>
          </w:tcPr>
          <w:p w14:paraId="7A872062"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ZOCCOLI 2019</w:t>
            </w:r>
          </w:p>
        </w:tc>
        <w:tc>
          <w:tcPr>
            <w:tcW w:w="2551" w:type="dxa"/>
            <w:noWrap/>
            <w:hideMark/>
          </w:tcPr>
          <w:p w14:paraId="2CF25640"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Giovanna Zoccoli</w:t>
            </w:r>
          </w:p>
        </w:tc>
        <w:tc>
          <w:tcPr>
            <w:tcW w:w="1701" w:type="dxa"/>
            <w:noWrap/>
            <w:hideMark/>
          </w:tcPr>
          <w:p w14:paraId="67E39875"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2469</w:t>
            </w:r>
          </w:p>
        </w:tc>
      </w:tr>
      <w:tr w:rsidR="002C6C19" w:rsidRPr="002C6C19" w14:paraId="2FBEC34C" w14:textId="77777777" w:rsidTr="002C6C19">
        <w:trPr>
          <w:trHeight w:val="290"/>
        </w:trPr>
        <w:tc>
          <w:tcPr>
            <w:tcW w:w="3114" w:type="dxa"/>
            <w:noWrap/>
            <w:hideMark/>
          </w:tcPr>
          <w:p w14:paraId="7DF515F3"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ZOCCOLI 2020</w:t>
            </w:r>
          </w:p>
        </w:tc>
        <w:tc>
          <w:tcPr>
            <w:tcW w:w="2551" w:type="dxa"/>
            <w:noWrap/>
            <w:hideMark/>
          </w:tcPr>
          <w:p w14:paraId="3E5801D0"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Giovanna Zoccoli</w:t>
            </w:r>
          </w:p>
        </w:tc>
        <w:tc>
          <w:tcPr>
            <w:tcW w:w="1701" w:type="dxa"/>
            <w:noWrap/>
            <w:hideMark/>
          </w:tcPr>
          <w:p w14:paraId="514A7030"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1020</w:t>
            </w:r>
          </w:p>
        </w:tc>
      </w:tr>
      <w:tr w:rsidR="002C6C19" w:rsidRPr="002C6C19" w14:paraId="51FEC925" w14:textId="77777777" w:rsidTr="002C6C19">
        <w:trPr>
          <w:trHeight w:val="290"/>
        </w:trPr>
        <w:tc>
          <w:tcPr>
            <w:tcW w:w="3114" w:type="dxa"/>
            <w:noWrap/>
            <w:hideMark/>
          </w:tcPr>
          <w:p w14:paraId="4456F6A1"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ZOCCOLI 2021</w:t>
            </w:r>
          </w:p>
        </w:tc>
        <w:tc>
          <w:tcPr>
            <w:tcW w:w="2551" w:type="dxa"/>
            <w:noWrap/>
            <w:hideMark/>
          </w:tcPr>
          <w:p w14:paraId="574044EB"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Giovanna Zoccoli</w:t>
            </w:r>
          </w:p>
        </w:tc>
        <w:tc>
          <w:tcPr>
            <w:tcW w:w="1701" w:type="dxa"/>
            <w:noWrap/>
            <w:hideMark/>
          </w:tcPr>
          <w:p w14:paraId="57A0E1AF"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900</w:t>
            </w:r>
          </w:p>
        </w:tc>
      </w:tr>
      <w:tr w:rsidR="002C6C19" w:rsidRPr="002C6C19" w14:paraId="46858072" w14:textId="77777777" w:rsidTr="002C6C19">
        <w:trPr>
          <w:trHeight w:val="290"/>
        </w:trPr>
        <w:tc>
          <w:tcPr>
            <w:tcW w:w="3114" w:type="dxa"/>
            <w:noWrap/>
            <w:hideMark/>
          </w:tcPr>
          <w:p w14:paraId="367770BA"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LO MARTIRE 2020</w:t>
            </w:r>
          </w:p>
        </w:tc>
        <w:tc>
          <w:tcPr>
            <w:tcW w:w="2551" w:type="dxa"/>
            <w:noWrap/>
            <w:hideMark/>
          </w:tcPr>
          <w:p w14:paraId="1F2C52B5"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Viviana Lo Martire</w:t>
            </w:r>
          </w:p>
        </w:tc>
        <w:tc>
          <w:tcPr>
            <w:tcW w:w="1701" w:type="dxa"/>
            <w:noWrap/>
            <w:hideMark/>
          </w:tcPr>
          <w:p w14:paraId="026DBA02"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740</w:t>
            </w:r>
          </w:p>
        </w:tc>
      </w:tr>
      <w:tr w:rsidR="002C6C19" w:rsidRPr="002C6C19" w14:paraId="4D3D3122" w14:textId="77777777" w:rsidTr="002C6C19">
        <w:trPr>
          <w:trHeight w:val="290"/>
        </w:trPr>
        <w:tc>
          <w:tcPr>
            <w:tcW w:w="3114" w:type="dxa"/>
            <w:noWrap/>
            <w:hideMark/>
          </w:tcPr>
          <w:p w14:paraId="0A9D6538"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LO MARTIRE 2021</w:t>
            </w:r>
          </w:p>
        </w:tc>
        <w:tc>
          <w:tcPr>
            <w:tcW w:w="2551" w:type="dxa"/>
            <w:noWrap/>
            <w:hideMark/>
          </w:tcPr>
          <w:p w14:paraId="5340CA9E"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Viviana Lo Martire</w:t>
            </w:r>
          </w:p>
        </w:tc>
        <w:tc>
          <w:tcPr>
            <w:tcW w:w="1701" w:type="dxa"/>
            <w:noWrap/>
            <w:hideMark/>
          </w:tcPr>
          <w:p w14:paraId="77A9EEDB"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500</w:t>
            </w:r>
          </w:p>
        </w:tc>
      </w:tr>
      <w:tr w:rsidR="002C6C19" w:rsidRPr="002C6C19" w14:paraId="2AA998BD" w14:textId="77777777" w:rsidTr="002C6C19">
        <w:trPr>
          <w:trHeight w:val="290"/>
        </w:trPr>
        <w:tc>
          <w:tcPr>
            <w:tcW w:w="3114" w:type="dxa"/>
            <w:noWrap/>
            <w:hideMark/>
          </w:tcPr>
          <w:p w14:paraId="3F92BCA5"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BASTIANINI 2020</w:t>
            </w:r>
          </w:p>
        </w:tc>
        <w:tc>
          <w:tcPr>
            <w:tcW w:w="2551" w:type="dxa"/>
            <w:noWrap/>
            <w:hideMark/>
          </w:tcPr>
          <w:p w14:paraId="7B5BD0DE"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Stefano Bastianini</w:t>
            </w:r>
          </w:p>
        </w:tc>
        <w:tc>
          <w:tcPr>
            <w:tcW w:w="1701" w:type="dxa"/>
            <w:noWrap/>
            <w:hideMark/>
          </w:tcPr>
          <w:p w14:paraId="0C68C711"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477</w:t>
            </w:r>
          </w:p>
        </w:tc>
      </w:tr>
      <w:tr w:rsidR="002C6C19" w:rsidRPr="002C6C19" w14:paraId="5A05DB68" w14:textId="77777777" w:rsidTr="002C6C19">
        <w:trPr>
          <w:trHeight w:val="290"/>
        </w:trPr>
        <w:tc>
          <w:tcPr>
            <w:tcW w:w="3114" w:type="dxa"/>
            <w:noWrap/>
            <w:hideMark/>
          </w:tcPr>
          <w:p w14:paraId="47556207"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RFO BASTIANINI 2021</w:t>
            </w:r>
          </w:p>
        </w:tc>
        <w:tc>
          <w:tcPr>
            <w:tcW w:w="2551" w:type="dxa"/>
            <w:noWrap/>
            <w:hideMark/>
          </w:tcPr>
          <w:p w14:paraId="319E7871"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Stefano Bastianini</w:t>
            </w:r>
          </w:p>
        </w:tc>
        <w:tc>
          <w:tcPr>
            <w:tcW w:w="1701" w:type="dxa"/>
            <w:noWrap/>
            <w:hideMark/>
          </w:tcPr>
          <w:p w14:paraId="277F4EFC" w14:textId="77777777" w:rsidR="002C6C19" w:rsidRPr="002C6C19" w:rsidRDefault="002C6C19" w:rsidP="002C6C19">
            <w:pPr>
              <w:overflowPunct/>
              <w:autoSpaceDE/>
              <w:autoSpaceDN/>
              <w:adjustRightInd/>
              <w:ind w:left="60"/>
              <w:jc w:val="both"/>
              <w:textAlignment w:val="auto"/>
              <w:rPr>
                <w:rFonts w:ascii="Arial" w:hAnsi="Arial" w:cs="Arial"/>
                <w:sz w:val="22"/>
                <w:szCs w:val="22"/>
              </w:rPr>
            </w:pPr>
            <w:r w:rsidRPr="002C6C19">
              <w:rPr>
                <w:rFonts w:ascii="Arial" w:hAnsi="Arial" w:cs="Arial"/>
                <w:sz w:val="22"/>
                <w:szCs w:val="22"/>
              </w:rPr>
              <w:t>800</w:t>
            </w:r>
          </w:p>
        </w:tc>
      </w:tr>
      <w:tr w:rsidR="002C6C19" w:rsidRPr="002C6C19" w14:paraId="20EFA172" w14:textId="77777777" w:rsidTr="009914A6">
        <w:trPr>
          <w:trHeight w:val="290"/>
        </w:trPr>
        <w:tc>
          <w:tcPr>
            <w:tcW w:w="5665" w:type="dxa"/>
            <w:gridSpan w:val="2"/>
            <w:noWrap/>
            <w:hideMark/>
          </w:tcPr>
          <w:p w14:paraId="17095F98" w14:textId="524797ED" w:rsidR="002C6C19" w:rsidRPr="002C6C19" w:rsidRDefault="002C6C19" w:rsidP="002C6C19">
            <w:pPr>
              <w:overflowPunct/>
              <w:autoSpaceDE/>
              <w:autoSpaceDN/>
              <w:adjustRightInd/>
              <w:ind w:left="60"/>
              <w:jc w:val="right"/>
              <w:textAlignment w:val="auto"/>
              <w:rPr>
                <w:rFonts w:ascii="Arial" w:hAnsi="Arial" w:cs="Arial"/>
                <w:b/>
                <w:bCs/>
                <w:sz w:val="22"/>
                <w:szCs w:val="22"/>
              </w:rPr>
            </w:pPr>
            <w:r w:rsidRPr="002C6C19">
              <w:rPr>
                <w:rFonts w:ascii="Arial" w:hAnsi="Arial" w:cs="Arial"/>
                <w:b/>
                <w:bCs/>
                <w:sz w:val="22"/>
                <w:szCs w:val="22"/>
              </w:rPr>
              <w:t>TOTALE</w:t>
            </w:r>
          </w:p>
        </w:tc>
        <w:tc>
          <w:tcPr>
            <w:tcW w:w="1701" w:type="dxa"/>
            <w:noWrap/>
            <w:hideMark/>
          </w:tcPr>
          <w:p w14:paraId="5DA513A6" w14:textId="77777777" w:rsidR="002C6C19" w:rsidRPr="002C6C19" w:rsidRDefault="002C6C19" w:rsidP="002C6C19">
            <w:pPr>
              <w:overflowPunct/>
              <w:autoSpaceDE/>
              <w:autoSpaceDN/>
              <w:adjustRightInd/>
              <w:ind w:left="60"/>
              <w:jc w:val="both"/>
              <w:textAlignment w:val="auto"/>
              <w:rPr>
                <w:rFonts w:ascii="Arial" w:hAnsi="Arial" w:cs="Arial"/>
                <w:b/>
                <w:bCs/>
                <w:sz w:val="22"/>
                <w:szCs w:val="22"/>
              </w:rPr>
            </w:pPr>
            <w:r w:rsidRPr="002C6C19">
              <w:rPr>
                <w:rFonts w:ascii="Arial" w:hAnsi="Arial" w:cs="Arial"/>
                <w:b/>
                <w:bCs/>
                <w:sz w:val="22"/>
                <w:szCs w:val="22"/>
              </w:rPr>
              <w:t>12000</w:t>
            </w:r>
          </w:p>
        </w:tc>
      </w:tr>
    </w:tbl>
    <w:p w14:paraId="60061E4C" w14:textId="77777777" w:rsidR="00EC008C" w:rsidRPr="00F41DDA" w:rsidRDefault="00EC008C" w:rsidP="00381E80">
      <w:pPr>
        <w:overflowPunct/>
        <w:autoSpaceDE/>
        <w:autoSpaceDN/>
        <w:adjustRightInd/>
        <w:ind w:left="60"/>
        <w:jc w:val="both"/>
        <w:textAlignment w:val="auto"/>
        <w:rPr>
          <w:rFonts w:ascii="Arial" w:hAnsi="Arial" w:cs="Arial"/>
          <w:sz w:val="22"/>
          <w:szCs w:val="22"/>
        </w:rPr>
      </w:pPr>
    </w:p>
    <w:p w14:paraId="56498E14" w14:textId="73721D9D" w:rsidR="002C24ED" w:rsidRDefault="002C24ED" w:rsidP="002C24ED">
      <w:pPr>
        <w:numPr>
          <w:ilvl w:val="0"/>
          <w:numId w:val="1"/>
        </w:numPr>
        <w:overflowPunct/>
        <w:autoSpaceDE/>
        <w:autoSpaceDN/>
        <w:adjustRightInd/>
        <w:jc w:val="both"/>
        <w:textAlignment w:val="auto"/>
        <w:rPr>
          <w:rFonts w:ascii="Arial" w:hAnsi="Arial" w:cs="Arial"/>
          <w:sz w:val="22"/>
          <w:szCs w:val="22"/>
        </w:rPr>
      </w:pPr>
      <w:r w:rsidRPr="00F41DDA">
        <w:rPr>
          <w:rFonts w:ascii="Arial" w:hAnsi="Arial" w:cs="Arial"/>
          <w:sz w:val="22"/>
          <w:szCs w:val="22"/>
        </w:rPr>
        <w:t>cofinanziamento richiesto</w:t>
      </w:r>
      <w:r w:rsidR="00E47570">
        <w:rPr>
          <w:rFonts w:ascii="Arial" w:hAnsi="Arial" w:cs="Arial"/>
          <w:sz w:val="22"/>
          <w:szCs w:val="22"/>
        </w:rPr>
        <w:t xml:space="preserve"> (si ricorda che il consiglio ha deliberato di cofinanziare massimo 6 mensilità ad importo minimo)</w:t>
      </w:r>
      <w:r w:rsidRPr="00F41DDA">
        <w:rPr>
          <w:rFonts w:ascii="Arial" w:hAnsi="Arial" w:cs="Arial"/>
          <w:sz w:val="22"/>
          <w:szCs w:val="22"/>
        </w:rPr>
        <w:t xml:space="preserve"> € </w:t>
      </w:r>
      <w:r w:rsidR="00E30538" w:rsidRPr="002C6C19">
        <w:rPr>
          <w:rFonts w:ascii="Arial" w:hAnsi="Arial" w:cs="Arial"/>
          <w:b/>
          <w:bCs/>
          <w:sz w:val="22"/>
          <w:szCs w:val="22"/>
        </w:rPr>
        <w:t>12000</w:t>
      </w:r>
      <w:r w:rsidR="0024521A" w:rsidRPr="002C6C19">
        <w:rPr>
          <w:rFonts w:ascii="Arial" w:hAnsi="Arial" w:cs="Arial"/>
          <w:b/>
          <w:bCs/>
          <w:sz w:val="22"/>
          <w:szCs w:val="22"/>
        </w:rPr>
        <w:t xml:space="preserve"> </w:t>
      </w:r>
      <w:r w:rsidR="0024521A" w:rsidRPr="00F41DDA">
        <w:rPr>
          <w:rFonts w:ascii="Arial" w:hAnsi="Arial" w:cs="Arial"/>
          <w:sz w:val="22"/>
          <w:szCs w:val="22"/>
        </w:rPr>
        <w:t xml:space="preserve">pari a n. </w:t>
      </w:r>
      <w:r w:rsidR="00E30538">
        <w:rPr>
          <w:rFonts w:ascii="Arial" w:hAnsi="Arial" w:cs="Arial"/>
          <w:sz w:val="22"/>
          <w:szCs w:val="22"/>
        </w:rPr>
        <w:t>6</w:t>
      </w:r>
      <w:r w:rsidR="0024521A" w:rsidRPr="00F41DDA">
        <w:rPr>
          <w:rFonts w:ascii="Arial" w:hAnsi="Arial" w:cs="Arial"/>
          <w:sz w:val="22"/>
          <w:szCs w:val="22"/>
        </w:rPr>
        <w:t xml:space="preserve"> mensilità  </w:t>
      </w:r>
    </w:p>
    <w:p w14:paraId="65E8F9A3" w14:textId="77777777" w:rsidR="002C6C19" w:rsidRDefault="002C6C19" w:rsidP="00E47570">
      <w:pPr>
        <w:pStyle w:val="Paragrafoelenco"/>
        <w:rPr>
          <w:rFonts w:ascii="Arial" w:hAnsi="Arial" w:cs="Arial"/>
          <w:sz w:val="22"/>
          <w:szCs w:val="22"/>
        </w:rPr>
      </w:pPr>
    </w:p>
    <w:p w14:paraId="29AE6DDB" w14:textId="77777777" w:rsidR="00E30538" w:rsidRDefault="00E47570" w:rsidP="002C24ED">
      <w:pPr>
        <w:numPr>
          <w:ilvl w:val="0"/>
          <w:numId w:val="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Commissione proposta (3 commissari esperti della materia + 1 supplente) </w:t>
      </w:r>
    </w:p>
    <w:p w14:paraId="14625BA9" w14:textId="77777777" w:rsidR="00E30538" w:rsidRDefault="00E30538" w:rsidP="002C6C19">
      <w:pPr>
        <w:overflowPunct/>
        <w:autoSpaceDE/>
        <w:autoSpaceDN/>
        <w:adjustRightInd/>
        <w:ind w:left="420"/>
        <w:jc w:val="both"/>
        <w:textAlignment w:val="auto"/>
        <w:rPr>
          <w:rFonts w:ascii="Arial" w:hAnsi="Arial" w:cs="Arial"/>
          <w:sz w:val="22"/>
          <w:szCs w:val="22"/>
        </w:rPr>
      </w:pPr>
    </w:p>
    <w:p w14:paraId="4B94D5A5" w14:textId="210D50F6" w:rsidR="00E47570" w:rsidRDefault="002C6C19" w:rsidP="00E47570">
      <w:pPr>
        <w:numPr>
          <w:ilvl w:val="0"/>
          <w:numId w:val="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Prof. </w:t>
      </w:r>
      <w:r w:rsidR="004575FB">
        <w:rPr>
          <w:rFonts w:ascii="Arial" w:hAnsi="Arial" w:cs="Arial"/>
          <w:sz w:val="22"/>
          <w:szCs w:val="22"/>
        </w:rPr>
        <w:t>Roberto Amici</w:t>
      </w:r>
    </w:p>
    <w:p w14:paraId="39324FB7" w14:textId="2424377F" w:rsidR="006354B4" w:rsidRDefault="002C6C19" w:rsidP="00E47570">
      <w:pPr>
        <w:numPr>
          <w:ilvl w:val="0"/>
          <w:numId w:val="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Prof.ssa </w:t>
      </w:r>
      <w:r w:rsidR="006354B4">
        <w:rPr>
          <w:rFonts w:ascii="Arial" w:hAnsi="Arial" w:cs="Arial"/>
          <w:sz w:val="22"/>
          <w:szCs w:val="22"/>
        </w:rPr>
        <w:t>Annalisa Bosco</w:t>
      </w:r>
    </w:p>
    <w:p w14:paraId="5149A584" w14:textId="77777777" w:rsidR="004575FB" w:rsidRDefault="004575FB" w:rsidP="004575FB">
      <w:pPr>
        <w:numPr>
          <w:ilvl w:val="0"/>
          <w:numId w:val="1"/>
        </w:numPr>
        <w:overflowPunct/>
        <w:autoSpaceDE/>
        <w:autoSpaceDN/>
        <w:adjustRightInd/>
        <w:jc w:val="both"/>
        <w:textAlignment w:val="auto"/>
        <w:rPr>
          <w:rFonts w:ascii="Arial" w:hAnsi="Arial" w:cs="Arial"/>
          <w:sz w:val="22"/>
          <w:szCs w:val="22"/>
        </w:rPr>
      </w:pPr>
      <w:r>
        <w:rPr>
          <w:rFonts w:ascii="Arial" w:hAnsi="Arial" w:cs="Arial"/>
          <w:sz w:val="22"/>
          <w:szCs w:val="22"/>
        </w:rPr>
        <w:t>Prof. Davide Martelli</w:t>
      </w:r>
    </w:p>
    <w:p w14:paraId="48C64650" w14:textId="5045E24D" w:rsidR="006354B4" w:rsidRPr="006354B4" w:rsidRDefault="002C6C19" w:rsidP="00E47570">
      <w:pPr>
        <w:numPr>
          <w:ilvl w:val="0"/>
          <w:numId w:val="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Dott.ssa </w:t>
      </w:r>
      <w:r w:rsidR="006354B4">
        <w:rPr>
          <w:rFonts w:ascii="Arial" w:hAnsi="Arial" w:cs="Arial"/>
          <w:sz w:val="22"/>
          <w:szCs w:val="22"/>
        </w:rPr>
        <w:t>Milena Raffi (supplente)</w:t>
      </w:r>
    </w:p>
    <w:p w14:paraId="53128261" w14:textId="07E07310" w:rsidR="00871703" w:rsidRPr="0086699F" w:rsidRDefault="00DC0746" w:rsidP="00871703">
      <w:pPr>
        <w:rPr>
          <w:b/>
          <w:sz w:val="28"/>
          <w:szCs w:val="28"/>
          <w:u w:val="single"/>
        </w:rPr>
      </w:pPr>
      <w:r w:rsidRPr="001D4DC6">
        <w:rPr>
          <w:b/>
          <w:sz w:val="28"/>
          <w:szCs w:val="28"/>
          <w:u w:val="single"/>
        </w:rPr>
        <w:lastRenderedPageBreak/>
        <w:t>S</w:t>
      </w:r>
      <w:r w:rsidR="00720D23" w:rsidRPr="001D4DC6">
        <w:rPr>
          <w:b/>
          <w:sz w:val="28"/>
          <w:szCs w:val="28"/>
          <w:u w:val="single"/>
        </w:rPr>
        <w:t>CHEDA PUBBLICAZIONI</w:t>
      </w:r>
    </w:p>
    <w:p w14:paraId="62486C05" w14:textId="77777777" w:rsidR="00871703" w:rsidRPr="000B07B8" w:rsidRDefault="00871703" w:rsidP="00871703">
      <w:pPr>
        <w:rPr>
          <w:b/>
        </w:rPr>
      </w:pPr>
    </w:p>
    <w:p w14:paraId="176299BF" w14:textId="77777777" w:rsidR="00871703" w:rsidRPr="000B07B8" w:rsidRDefault="00871703" w:rsidP="008F0F85">
      <w:pPr>
        <w:numPr>
          <w:ilvl w:val="0"/>
          <w:numId w:val="1"/>
        </w:numPr>
      </w:pPr>
      <w:r w:rsidRPr="000B07B8">
        <w:t>Pubblicazioni del proponente</w:t>
      </w:r>
      <w:r w:rsidR="006A1FF7" w:rsidRPr="000B07B8">
        <w:t>, che provvederà a fornire sotto sua responsabilità la classificazione</w:t>
      </w:r>
    </w:p>
    <w:p w14:paraId="4101652C" w14:textId="77777777" w:rsidR="00871703" w:rsidRPr="000B07B8" w:rsidRDefault="00871703" w:rsidP="00871703">
      <w:pP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1842"/>
        <w:gridCol w:w="1418"/>
        <w:gridCol w:w="1559"/>
        <w:gridCol w:w="851"/>
      </w:tblGrid>
      <w:tr w:rsidR="00871703" w:rsidRPr="000B07B8" w14:paraId="23C49A51" w14:textId="77777777" w:rsidTr="00F705C6">
        <w:tc>
          <w:tcPr>
            <w:tcW w:w="567" w:type="dxa"/>
          </w:tcPr>
          <w:p w14:paraId="7974278F" w14:textId="77777777" w:rsidR="00871703" w:rsidRPr="000B07B8" w:rsidRDefault="00871703" w:rsidP="003D1FF3">
            <w:pPr>
              <w:rPr>
                <w:rFonts w:ascii="Arial" w:hAnsi="Arial" w:cs="Arial"/>
                <w:b/>
                <w:sz w:val="22"/>
                <w:szCs w:val="22"/>
              </w:rPr>
            </w:pPr>
            <w:r w:rsidRPr="000B07B8">
              <w:rPr>
                <w:rFonts w:ascii="Arial" w:hAnsi="Arial" w:cs="Arial"/>
                <w:b/>
                <w:sz w:val="22"/>
                <w:szCs w:val="22"/>
              </w:rPr>
              <w:t>N.</w:t>
            </w:r>
          </w:p>
        </w:tc>
        <w:tc>
          <w:tcPr>
            <w:tcW w:w="4395" w:type="dxa"/>
          </w:tcPr>
          <w:p w14:paraId="32D04A1F" w14:textId="77777777" w:rsidR="00871703" w:rsidRPr="000B07B8" w:rsidRDefault="00871703" w:rsidP="003D1FF3">
            <w:pPr>
              <w:rPr>
                <w:rFonts w:ascii="Arial" w:hAnsi="Arial" w:cs="Arial"/>
                <w:b/>
                <w:sz w:val="22"/>
                <w:szCs w:val="22"/>
              </w:rPr>
            </w:pPr>
            <w:r w:rsidRPr="000B07B8">
              <w:rPr>
                <w:rFonts w:ascii="Arial" w:hAnsi="Arial" w:cs="Arial"/>
                <w:b/>
                <w:sz w:val="22"/>
                <w:szCs w:val="22"/>
              </w:rPr>
              <w:t>Estremi bibliografici completi</w:t>
            </w:r>
          </w:p>
        </w:tc>
        <w:tc>
          <w:tcPr>
            <w:tcW w:w="1842" w:type="dxa"/>
          </w:tcPr>
          <w:p w14:paraId="5651867E" w14:textId="77777777" w:rsidR="00871703" w:rsidRPr="000B07B8" w:rsidRDefault="00871703" w:rsidP="003D1FF3">
            <w:pPr>
              <w:rPr>
                <w:rFonts w:ascii="Arial" w:hAnsi="Arial" w:cs="Arial"/>
                <w:b/>
                <w:sz w:val="22"/>
                <w:szCs w:val="22"/>
              </w:rPr>
            </w:pPr>
            <w:r w:rsidRPr="000B07B8">
              <w:rPr>
                <w:rFonts w:ascii="Arial" w:hAnsi="Arial" w:cs="Arial"/>
                <w:b/>
                <w:sz w:val="22"/>
                <w:szCs w:val="22"/>
              </w:rPr>
              <w:t>Categoria ISI</w:t>
            </w:r>
            <w:r w:rsidR="003D3DF2" w:rsidRPr="000B07B8">
              <w:rPr>
                <w:rFonts w:ascii="Arial" w:hAnsi="Arial" w:cs="Arial"/>
                <w:b/>
                <w:sz w:val="22"/>
                <w:szCs w:val="22"/>
              </w:rPr>
              <w:t xml:space="preserve"> </w:t>
            </w:r>
          </w:p>
          <w:p w14:paraId="214E104F" w14:textId="77777777" w:rsidR="00EB1958" w:rsidRPr="000B07B8" w:rsidRDefault="00EB1958" w:rsidP="003D1FF3">
            <w:pPr>
              <w:rPr>
                <w:rFonts w:ascii="Arial" w:hAnsi="Arial" w:cs="Arial"/>
                <w:b/>
                <w:sz w:val="22"/>
                <w:szCs w:val="22"/>
              </w:rPr>
            </w:pPr>
            <w:r w:rsidRPr="000B07B8">
              <w:rPr>
                <w:rFonts w:ascii="Arial" w:hAnsi="Arial" w:cs="Arial"/>
                <w:b/>
                <w:sz w:val="22"/>
                <w:szCs w:val="22"/>
              </w:rPr>
              <w:t>(JCR/TR)</w:t>
            </w:r>
          </w:p>
        </w:tc>
        <w:tc>
          <w:tcPr>
            <w:tcW w:w="1418" w:type="dxa"/>
          </w:tcPr>
          <w:p w14:paraId="0590C468" w14:textId="77777777" w:rsidR="00871703" w:rsidRPr="000B07B8" w:rsidRDefault="00871703" w:rsidP="003D1FF3">
            <w:pPr>
              <w:rPr>
                <w:rFonts w:ascii="Arial" w:hAnsi="Arial" w:cs="Arial"/>
                <w:b/>
                <w:sz w:val="22"/>
                <w:szCs w:val="22"/>
              </w:rPr>
            </w:pPr>
            <w:r w:rsidRPr="000B07B8">
              <w:rPr>
                <w:rFonts w:ascii="Arial" w:hAnsi="Arial" w:cs="Arial"/>
                <w:b/>
                <w:sz w:val="22"/>
                <w:szCs w:val="22"/>
              </w:rPr>
              <w:t>Impact</w:t>
            </w:r>
          </w:p>
          <w:p w14:paraId="04230D3D" w14:textId="77777777" w:rsidR="00871703" w:rsidRPr="000B07B8" w:rsidRDefault="00871703" w:rsidP="003D1FF3">
            <w:pPr>
              <w:rPr>
                <w:rFonts w:ascii="Arial" w:hAnsi="Arial" w:cs="Arial"/>
                <w:b/>
                <w:sz w:val="22"/>
                <w:szCs w:val="22"/>
              </w:rPr>
            </w:pPr>
            <w:proofErr w:type="spellStart"/>
            <w:r w:rsidRPr="000B07B8">
              <w:rPr>
                <w:rFonts w:ascii="Arial" w:hAnsi="Arial" w:cs="Arial"/>
                <w:b/>
                <w:sz w:val="22"/>
                <w:szCs w:val="22"/>
              </w:rPr>
              <w:t>Factor</w:t>
            </w:r>
            <w:proofErr w:type="spellEnd"/>
          </w:p>
        </w:tc>
        <w:tc>
          <w:tcPr>
            <w:tcW w:w="1559" w:type="dxa"/>
          </w:tcPr>
          <w:p w14:paraId="327A541F" w14:textId="77777777" w:rsidR="00EB1958" w:rsidRPr="001A7432" w:rsidRDefault="00EB1958" w:rsidP="003D1FF3">
            <w:pPr>
              <w:rPr>
                <w:rFonts w:ascii="Arial" w:hAnsi="Arial" w:cs="Arial"/>
                <w:b/>
                <w:sz w:val="22"/>
                <w:szCs w:val="22"/>
              </w:rPr>
            </w:pPr>
            <w:r w:rsidRPr="001A7432">
              <w:rPr>
                <w:rFonts w:ascii="Arial" w:hAnsi="Arial" w:cs="Arial"/>
                <w:b/>
                <w:sz w:val="22"/>
                <w:szCs w:val="22"/>
              </w:rPr>
              <w:t>Rank</w:t>
            </w:r>
            <w:r w:rsidR="002A6A5C" w:rsidRPr="001A7432">
              <w:rPr>
                <w:rFonts w:ascii="Arial" w:hAnsi="Arial" w:cs="Arial"/>
                <w:b/>
                <w:sz w:val="22"/>
                <w:szCs w:val="22"/>
              </w:rPr>
              <w:t xml:space="preserve"> </w:t>
            </w:r>
            <w:r w:rsidRPr="001A7432">
              <w:rPr>
                <w:rFonts w:ascii="Arial" w:hAnsi="Arial" w:cs="Arial"/>
                <w:b/>
                <w:sz w:val="22"/>
                <w:szCs w:val="22"/>
              </w:rPr>
              <w:t xml:space="preserve">ISI JCR </w:t>
            </w:r>
            <w:r w:rsidR="00214464" w:rsidRPr="001A7432">
              <w:rPr>
                <w:rFonts w:ascii="Arial" w:hAnsi="Arial" w:cs="Arial"/>
                <w:b/>
                <w:sz w:val="22"/>
                <w:szCs w:val="22"/>
              </w:rPr>
              <w:t>2019</w:t>
            </w:r>
          </w:p>
          <w:p w14:paraId="55594B55" w14:textId="77777777" w:rsidR="00EB1958" w:rsidRPr="000B07B8" w:rsidRDefault="00EB1958" w:rsidP="003D1FF3">
            <w:pPr>
              <w:rPr>
                <w:rFonts w:ascii="Arial" w:hAnsi="Arial" w:cs="Arial"/>
                <w:sz w:val="16"/>
                <w:szCs w:val="16"/>
              </w:rPr>
            </w:pPr>
            <w:r w:rsidRPr="000B07B8">
              <w:rPr>
                <w:rFonts w:ascii="Arial" w:hAnsi="Arial" w:cs="Arial"/>
                <w:sz w:val="16"/>
                <w:szCs w:val="16"/>
              </w:rPr>
              <w:t>(</w:t>
            </w:r>
            <w:proofErr w:type="gramStart"/>
            <w:r w:rsidRPr="001A7432">
              <w:rPr>
                <w:rFonts w:ascii="Arial" w:hAnsi="Arial" w:cs="Arial"/>
                <w:sz w:val="18"/>
                <w:szCs w:val="18"/>
              </w:rPr>
              <w:t>comunque</w:t>
            </w:r>
            <w:proofErr w:type="gramEnd"/>
            <w:r w:rsidRPr="001A7432">
              <w:rPr>
                <w:rFonts w:ascii="Arial" w:hAnsi="Arial" w:cs="Arial"/>
                <w:sz w:val="18"/>
                <w:szCs w:val="18"/>
              </w:rPr>
              <w:t xml:space="preserve"> la più recente al momento chiusura domanda</w:t>
            </w:r>
            <w:r w:rsidRPr="000B07B8">
              <w:rPr>
                <w:rFonts w:ascii="Arial" w:hAnsi="Arial" w:cs="Arial"/>
                <w:sz w:val="16"/>
                <w:szCs w:val="16"/>
              </w:rPr>
              <w:t>)</w:t>
            </w:r>
          </w:p>
          <w:p w14:paraId="6E2BB1C6" w14:textId="77777777" w:rsidR="00EB1958" w:rsidRPr="000B07B8" w:rsidRDefault="00EB1958" w:rsidP="003D1FF3">
            <w:pPr>
              <w:rPr>
                <w:rFonts w:ascii="Arial" w:hAnsi="Arial" w:cs="Arial"/>
                <w:b/>
                <w:vanish/>
                <w:sz w:val="22"/>
                <w:szCs w:val="22"/>
              </w:rPr>
            </w:pPr>
            <w:r w:rsidRPr="000B07B8">
              <w:rPr>
                <w:rFonts w:ascii="Arial" w:hAnsi="Arial" w:cs="Arial"/>
                <w:b/>
                <w:sz w:val="22"/>
                <w:szCs w:val="22"/>
              </w:rPr>
              <w:t>ovvero Q1, Q2, Q3, Q4</w:t>
            </w:r>
            <w:r w:rsidRPr="000B07B8">
              <w:rPr>
                <w:rFonts w:ascii="Arial" w:hAnsi="Arial" w:cs="Arial"/>
                <w:b/>
                <w:vanish/>
                <w:sz w:val="22"/>
                <w:szCs w:val="22"/>
              </w:rPr>
              <w:t>4</w:t>
            </w:r>
          </w:p>
          <w:p w14:paraId="4B99056E" w14:textId="77777777" w:rsidR="00290F81" w:rsidRPr="000B07B8" w:rsidRDefault="00290F81" w:rsidP="00EB1958">
            <w:pPr>
              <w:rPr>
                <w:rFonts w:ascii="Arial" w:hAnsi="Arial" w:cs="Arial"/>
                <w:b/>
                <w:sz w:val="22"/>
                <w:szCs w:val="22"/>
              </w:rPr>
            </w:pPr>
          </w:p>
        </w:tc>
        <w:tc>
          <w:tcPr>
            <w:tcW w:w="851" w:type="dxa"/>
          </w:tcPr>
          <w:p w14:paraId="7DEB5FDD" w14:textId="77777777" w:rsidR="00871703" w:rsidRPr="000B07B8" w:rsidRDefault="00871703" w:rsidP="003D1FF3">
            <w:pPr>
              <w:rPr>
                <w:rFonts w:ascii="Arial" w:hAnsi="Arial" w:cs="Arial"/>
                <w:b/>
                <w:sz w:val="22"/>
                <w:szCs w:val="22"/>
              </w:rPr>
            </w:pPr>
            <w:r w:rsidRPr="000B07B8">
              <w:rPr>
                <w:rFonts w:ascii="Arial" w:hAnsi="Arial" w:cs="Arial"/>
                <w:b/>
                <w:sz w:val="22"/>
                <w:szCs w:val="22"/>
              </w:rPr>
              <w:t>Punti</w:t>
            </w:r>
          </w:p>
          <w:p w14:paraId="33D53E93" w14:textId="77777777" w:rsidR="00871703" w:rsidRPr="000B07B8" w:rsidRDefault="00871703" w:rsidP="003D1FF3">
            <w:pPr>
              <w:rPr>
                <w:rFonts w:ascii="Arial" w:hAnsi="Arial" w:cs="Arial"/>
                <w:sz w:val="22"/>
                <w:szCs w:val="22"/>
              </w:rPr>
            </w:pPr>
            <w:r w:rsidRPr="000B07B8">
              <w:rPr>
                <w:rFonts w:ascii="Arial" w:hAnsi="Arial" w:cs="Arial"/>
                <w:sz w:val="22"/>
                <w:szCs w:val="22"/>
              </w:rPr>
              <w:t>(</w:t>
            </w:r>
            <w:r w:rsidRPr="001A7432">
              <w:rPr>
                <w:rFonts w:ascii="Arial" w:hAnsi="Arial" w:cs="Arial"/>
                <w:sz w:val="18"/>
                <w:szCs w:val="18"/>
              </w:rPr>
              <w:t>a cura della Commissione</w:t>
            </w:r>
            <w:r w:rsidRPr="000B07B8">
              <w:rPr>
                <w:rFonts w:ascii="Arial" w:hAnsi="Arial" w:cs="Arial"/>
                <w:sz w:val="22"/>
                <w:szCs w:val="22"/>
              </w:rPr>
              <w:t>)</w:t>
            </w:r>
          </w:p>
        </w:tc>
      </w:tr>
      <w:tr w:rsidR="00871703" w:rsidRPr="006354B4" w14:paraId="0135CBF0" w14:textId="77777777" w:rsidTr="00F705C6">
        <w:tc>
          <w:tcPr>
            <w:tcW w:w="567" w:type="dxa"/>
          </w:tcPr>
          <w:p w14:paraId="21FA6016" w14:textId="77777777" w:rsidR="00871703" w:rsidRPr="000B07B8" w:rsidRDefault="00871703" w:rsidP="003D1FF3">
            <w:pPr>
              <w:rPr>
                <w:rFonts w:ascii="Arial" w:hAnsi="Arial" w:cs="Arial"/>
                <w:b/>
              </w:rPr>
            </w:pPr>
            <w:r w:rsidRPr="000B07B8">
              <w:rPr>
                <w:rFonts w:ascii="Arial" w:hAnsi="Arial" w:cs="Arial"/>
                <w:b/>
              </w:rPr>
              <w:t>1.</w:t>
            </w:r>
          </w:p>
        </w:tc>
        <w:tc>
          <w:tcPr>
            <w:tcW w:w="4395" w:type="dxa"/>
          </w:tcPr>
          <w:p w14:paraId="1299C43A" w14:textId="32DD0931" w:rsidR="00871703" w:rsidRPr="006354B4" w:rsidRDefault="006354B4" w:rsidP="006354B4">
            <w:pPr>
              <w:spacing w:line="300" w:lineRule="exact"/>
              <w:ind w:firstLine="1"/>
              <w:jc w:val="both"/>
              <w:rPr>
                <w:sz w:val="20"/>
                <w:lang w:val="en-US"/>
              </w:rPr>
            </w:pPr>
            <w:r w:rsidRPr="00EB3FED">
              <w:rPr>
                <w:sz w:val="20"/>
                <w:lang w:val="en-US"/>
              </w:rPr>
              <w:t xml:space="preserve">Focus on the complex interconnection between </w:t>
            </w:r>
            <w:r>
              <w:rPr>
                <w:sz w:val="20"/>
                <w:lang w:val="en-US"/>
              </w:rPr>
              <w:t>c</w:t>
            </w:r>
            <w:r w:rsidRPr="00EB3FED">
              <w:rPr>
                <w:sz w:val="20"/>
                <w:lang w:val="en-US"/>
              </w:rPr>
              <w:t xml:space="preserve">ancer, </w:t>
            </w:r>
            <w:proofErr w:type="gramStart"/>
            <w:r>
              <w:rPr>
                <w:sz w:val="20"/>
                <w:lang w:val="en-US"/>
              </w:rPr>
              <w:t>n</w:t>
            </w:r>
            <w:r w:rsidRPr="00EB3FED">
              <w:rPr>
                <w:sz w:val="20"/>
                <w:lang w:val="en-US"/>
              </w:rPr>
              <w:t>arcolepsy</w:t>
            </w:r>
            <w:proofErr w:type="gramEnd"/>
            <w:r w:rsidRPr="00EB3FED">
              <w:rPr>
                <w:sz w:val="20"/>
                <w:lang w:val="en-US"/>
              </w:rPr>
              <w:t xml:space="preserve"> and other </w:t>
            </w:r>
            <w:r>
              <w:rPr>
                <w:sz w:val="20"/>
                <w:lang w:val="en-US"/>
              </w:rPr>
              <w:t>n</w:t>
            </w:r>
            <w:r w:rsidRPr="00EB3FED">
              <w:rPr>
                <w:sz w:val="20"/>
                <w:lang w:val="en-US"/>
              </w:rPr>
              <w:t xml:space="preserve">eurodegenerative </w:t>
            </w:r>
            <w:r>
              <w:rPr>
                <w:sz w:val="20"/>
                <w:lang w:val="en-US"/>
              </w:rPr>
              <w:t>d</w:t>
            </w:r>
            <w:r w:rsidRPr="00EB3FED">
              <w:rPr>
                <w:sz w:val="20"/>
                <w:lang w:val="en-US"/>
              </w:rPr>
              <w:t>iseases:</w:t>
            </w:r>
            <w:r>
              <w:rPr>
                <w:sz w:val="20"/>
                <w:lang w:val="en-US"/>
              </w:rPr>
              <w:t xml:space="preserve"> a</w:t>
            </w:r>
            <w:r w:rsidRPr="00EB3FED">
              <w:rPr>
                <w:sz w:val="20"/>
                <w:lang w:val="en-US"/>
              </w:rPr>
              <w:t xml:space="preserve"> </w:t>
            </w:r>
            <w:r>
              <w:rPr>
                <w:sz w:val="20"/>
                <w:lang w:val="en-US"/>
              </w:rPr>
              <w:t>p</w:t>
            </w:r>
            <w:r w:rsidRPr="00EB3FED">
              <w:rPr>
                <w:sz w:val="20"/>
                <w:lang w:val="en-US"/>
              </w:rPr>
              <w:t>ossible</w:t>
            </w:r>
            <w:r>
              <w:rPr>
                <w:sz w:val="20"/>
                <w:lang w:val="en-US"/>
              </w:rPr>
              <w:t xml:space="preserve"> c</w:t>
            </w:r>
            <w:r w:rsidRPr="00EB3FED">
              <w:rPr>
                <w:sz w:val="20"/>
                <w:lang w:val="en-US"/>
              </w:rPr>
              <w:t xml:space="preserve">ase of </w:t>
            </w:r>
            <w:r>
              <w:rPr>
                <w:sz w:val="20"/>
                <w:lang w:val="en-US"/>
              </w:rPr>
              <w:t>o</w:t>
            </w:r>
            <w:r w:rsidRPr="00EB3FED">
              <w:rPr>
                <w:sz w:val="20"/>
                <w:lang w:val="en-US"/>
              </w:rPr>
              <w:t>rexin-</w:t>
            </w:r>
            <w:r>
              <w:rPr>
                <w:sz w:val="20"/>
                <w:lang w:val="en-US"/>
              </w:rPr>
              <w:t>d</w:t>
            </w:r>
            <w:r w:rsidRPr="00EB3FED">
              <w:rPr>
                <w:sz w:val="20"/>
                <w:lang w:val="en-US"/>
              </w:rPr>
              <w:t xml:space="preserve">ependent </w:t>
            </w:r>
            <w:r>
              <w:rPr>
                <w:sz w:val="20"/>
                <w:lang w:val="en-US"/>
              </w:rPr>
              <w:t>i</w:t>
            </w:r>
            <w:r w:rsidRPr="00EB3FED">
              <w:rPr>
                <w:sz w:val="20"/>
                <w:lang w:val="en-US"/>
              </w:rPr>
              <w:t xml:space="preserve">nverse </w:t>
            </w:r>
            <w:r>
              <w:rPr>
                <w:sz w:val="20"/>
                <w:lang w:val="en-US"/>
              </w:rPr>
              <w:t>c</w:t>
            </w:r>
            <w:r w:rsidRPr="00EB3FED">
              <w:rPr>
                <w:sz w:val="20"/>
                <w:lang w:val="en-US"/>
              </w:rPr>
              <w:t>omorbidity</w:t>
            </w:r>
            <w:r>
              <w:rPr>
                <w:sz w:val="20"/>
                <w:lang w:val="en-US"/>
              </w:rPr>
              <w:t xml:space="preserve">. </w:t>
            </w:r>
            <w:proofErr w:type="spellStart"/>
            <w:r w:rsidRPr="00170E53">
              <w:rPr>
                <w:sz w:val="20"/>
                <w:lang w:val="en-US"/>
              </w:rPr>
              <w:t>Mogavero</w:t>
            </w:r>
            <w:proofErr w:type="spellEnd"/>
            <w:r w:rsidRPr="00170E53">
              <w:rPr>
                <w:sz w:val="20"/>
                <w:lang w:val="en-US"/>
              </w:rPr>
              <w:t xml:space="preserve"> MP*, </w:t>
            </w:r>
            <w:r w:rsidRPr="00170E53">
              <w:rPr>
                <w:sz w:val="20"/>
                <w:u w:val="single"/>
                <w:lang w:val="en-US"/>
              </w:rPr>
              <w:t>Silvani A*</w:t>
            </w:r>
            <w:r w:rsidRPr="00170E53">
              <w:rPr>
                <w:sz w:val="20"/>
                <w:lang w:val="en-US"/>
              </w:rPr>
              <w:t xml:space="preserve">, Del Rosso LM, </w:t>
            </w:r>
            <w:proofErr w:type="spellStart"/>
            <w:r w:rsidRPr="00170E53">
              <w:rPr>
                <w:sz w:val="20"/>
                <w:lang w:val="en-US"/>
              </w:rPr>
              <w:t>Salemi</w:t>
            </w:r>
            <w:proofErr w:type="spellEnd"/>
            <w:r w:rsidRPr="00170E53">
              <w:rPr>
                <w:sz w:val="20"/>
                <w:lang w:val="en-US"/>
              </w:rPr>
              <w:t xml:space="preserve"> M, </w:t>
            </w:r>
            <w:proofErr w:type="spellStart"/>
            <w:r w:rsidRPr="00170E53">
              <w:rPr>
                <w:sz w:val="20"/>
                <w:lang w:val="en-US"/>
              </w:rPr>
              <w:t>Ferri</w:t>
            </w:r>
            <w:proofErr w:type="spellEnd"/>
            <w:r w:rsidRPr="00170E53">
              <w:rPr>
                <w:sz w:val="20"/>
                <w:lang w:val="en-US"/>
              </w:rPr>
              <w:t xml:space="preserve"> R. (*</w:t>
            </w:r>
            <w:r>
              <w:rPr>
                <w:sz w:val="20"/>
                <w:lang w:val="en-US"/>
              </w:rPr>
              <w:t>:</w:t>
            </w:r>
            <w:r w:rsidRPr="00170E53">
              <w:rPr>
                <w:sz w:val="20"/>
                <w:lang w:val="en-US"/>
              </w:rPr>
              <w:t xml:space="preserve"> joint first authors) </w:t>
            </w:r>
            <w:r w:rsidRPr="00170E53">
              <w:rPr>
                <w:b/>
                <w:bCs/>
                <w:sz w:val="20"/>
                <w:lang w:val="en-US"/>
              </w:rPr>
              <w:t>Cancers</w:t>
            </w:r>
            <w:r w:rsidRPr="00170E53">
              <w:rPr>
                <w:sz w:val="20"/>
                <w:lang w:val="en-US"/>
              </w:rPr>
              <w:t xml:space="preserve">, 2021 May 26;13(11):2612. </w:t>
            </w:r>
            <w:proofErr w:type="spellStart"/>
            <w:r w:rsidRPr="00170E53">
              <w:rPr>
                <w:sz w:val="20"/>
                <w:lang w:val="en-US"/>
              </w:rPr>
              <w:t>doi</w:t>
            </w:r>
            <w:proofErr w:type="spellEnd"/>
            <w:r w:rsidRPr="00170E53">
              <w:rPr>
                <w:sz w:val="20"/>
                <w:lang w:val="en-US"/>
              </w:rPr>
              <w:t>: 10.3390/cancers13112612.</w:t>
            </w:r>
          </w:p>
        </w:tc>
        <w:tc>
          <w:tcPr>
            <w:tcW w:w="1842" w:type="dxa"/>
          </w:tcPr>
          <w:p w14:paraId="4DDBEF00" w14:textId="7D319E44" w:rsidR="00871703" w:rsidRPr="006354B4" w:rsidRDefault="00977E38" w:rsidP="003D1FF3">
            <w:pPr>
              <w:rPr>
                <w:rFonts w:ascii="Arial" w:hAnsi="Arial" w:cs="Arial"/>
                <w:b/>
                <w:lang w:val="en-US"/>
              </w:rPr>
            </w:pPr>
            <w:r>
              <w:rPr>
                <w:rFonts w:ascii="Arial" w:hAnsi="Arial" w:cs="Arial"/>
                <w:b/>
                <w:lang w:val="en-US"/>
              </w:rPr>
              <w:t>Oncology</w:t>
            </w:r>
          </w:p>
        </w:tc>
        <w:tc>
          <w:tcPr>
            <w:tcW w:w="1418" w:type="dxa"/>
          </w:tcPr>
          <w:p w14:paraId="3461D779" w14:textId="52ACE7E5" w:rsidR="00871703" w:rsidRPr="006354B4" w:rsidRDefault="00977E38" w:rsidP="003D1FF3">
            <w:pPr>
              <w:rPr>
                <w:rFonts w:ascii="Arial" w:hAnsi="Arial" w:cs="Arial"/>
                <w:b/>
                <w:lang w:val="en-US"/>
              </w:rPr>
            </w:pPr>
            <w:r>
              <w:rPr>
                <w:rFonts w:ascii="Arial" w:hAnsi="Arial" w:cs="Arial"/>
                <w:b/>
                <w:lang w:val="en-US"/>
              </w:rPr>
              <w:t>6,639</w:t>
            </w:r>
          </w:p>
        </w:tc>
        <w:tc>
          <w:tcPr>
            <w:tcW w:w="1559" w:type="dxa"/>
          </w:tcPr>
          <w:p w14:paraId="3CF2D8B6" w14:textId="66DBCBAF" w:rsidR="00871703" w:rsidRPr="006354B4" w:rsidRDefault="00977E38" w:rsidP="003D1FF3">
            <w:pPr>
              <w:rPr>
                <w:rFonts w:ascii="Arial" w:hAnsi="Arial" w:cs="Arial"/>
                <w:b/>
                <w:lang w:val="en-US"/>
              </w:rPr>
            </w:pPr>
            <w:r>
              <w:rPr>
                <w:rFonts w:ascii="Arial" w:hAnsi="Arial" w:cs="Arial"/>
                <w:b/>
                <w:lang w:val="en-US"/>
              </w:rPr>
              <w:t>Q1</w:t>
            </w:r>
          </w:p>
        </w:tc>
        <w:tc>
          <w:tcPr>
            <w:tcW w:w="851" w:type="dxa"/>
          </w:tcPr>
          <w:p w14:paraId="0FB78278" w14:textId="77777777" w:rsidR="00871703" w:rsidRPr="006354B4" w:rsidRDefault="00871703" w:rsidP="003D1FF3">
            <w:pPr>
              <w:rPr>
                <w:rFonts w:ascii="Arial" w:hAnsi="Arial" w:cs="Arial"/>
                <w:lang w:val="en-US"/>
              </w:rPr>
            </w:pPr>
          </w:p>
        </w:tc>
      </w:tr>
      <w:tr w:rsidR="00871703" w:rsidRPr="00D069D7" w14:paraId="47886996" w14:textId="77777777" w:rsidTr="00F705C6">
        <w:tc>
          <w:tcPr>
            <w:tcW w:w="567" w:type="dxa"/>
          </w:tcPr>
          <w:p w14:paraId="41BD3FC6" w14:textId="77777777" w:rsidR="00871703" w:rsidRPr="00D069D7" w:rsidRDefault="00871703" w:rsidP="003D1FF3">
            <w:pPr>
              <w:rPr>
                <w:rFonts w:ascii="Arial" w:hAnsi="Arial" w:cs="Arial"/>
                <w:b/>
              </w:rPr>
            </w:pPr>
            <w:r w:rsidRPr="000B07B8">
              <w:rPr>
                <w:rFonts w:ascii="Arial" w:hAnsi="Arial" w:cs="Arial"/>
                <w:b/>
              </w:rPr>
              <w:t>2.</w:t>
            </w:r>
          </w:p>
        </w:tc>
        <w:tc>
          <w:tcPr>
            <w:tcW w:w="4395" w:type="dxa"/>
          </w:tcPr>
          <w:p w14:paraId="1FC39945" w14:textId="472C5DA5" w:rsidR="00871703" w:rsidRPr="00977E38" w:rsidRDefault="00977E38" w:rsidP="00977E38">
            <w:pPr>
              <w:pStyle w:val="PreformattatoHTML"/>
              <w:spacing w:line="300" w:lineRule="exact"/>
              <w:rPr>
                <w:rFonts w:ascii="Times New Roman" w:hAnsi="Times New Roman"/>
                <w:sz w:val="24"/>
                <w:szCs w:val="24"/>
                <w:lang w:val="it-IT" w:eastAsia="it-IT"/>
              </w:rPr>
            </w:pPr>
            <w:r w:rsidRPr="00977E38">
              <w:rPr>
                <w:rFonts w:ascii="Times New Roman" w:hAnsi="Times New Roman"/>
                <w:lang w:val="en-US"/>
              </w:rPr>
              <w:t xml:space="preserve">Autonomic mechanisms of blood pressure alterations during sleep in orexin/hypocretin-deficient narcoleptic mice. </w:t>
            </w:r>
            <w:proofErr w:type="spellStart"/>
            <w:r w:rsidRPr="00977E38">
              <w:rPr>
                <w:rFonts w:ascii="Times New Roman" w:hAnsi="Times New Roman"/>
                <w:iCs/>
              </w:rPr>
              <w:t>Alvente</w:t>
            </w:r>
            <w:proofErr w:type="spellEnd"/>
            <w:r w:rsidRPr="00977E38">
              <w:rPr>
                <w:rFonts w:ascii="Times New Roman" w:hAnsi="Times New Roman"/>
                <w:iCs/>
              </w:rPr>
              <w:t xml:space="preserve"> S, </w:t>
            </w:r>
            <w:proofErr w:type="spellStart"/>
            <w:r w:rsidRPr="00977E38">
              <w:rPr>
                <w:rFonts w:ascii="Times New Roman" w:hAnsi="Times New Roman"/>
                <w:iCs/>
              </w:rPr>
              <w:t>Berteotti</w:t>
            </w:r>
            <w:proofErr w:type="spellEnd"/>
            <w:r w:rsidRPr="00977E38">
              <w:rPr>
                <w:rFonts w:ascii="Times New Roman" w:hAnsi="Times New Roman"/>
                <w:iCs/>
              </w:rPr>
              <w:t xml:space="preserve"> C, Bastianini S, Lo Martire V, Matteoli G, </w:t>
            </w:r>
            <w:r w:rsidRPr="00977E38">
              <w:rPr>
                <w:rFonts w:ascii="Times New Roman" w:hAnsi="Times New Roman"/>
                <w:iCs/>
                <w:u w:val="single"/>
              </w:rPr>
              <w:t>Silvani A</w:t>
            </w:r>
            <w:r w:rsidRPr="00977E38">
              <w:rPr>
                <w:rFonts w:ascii="Times New Roman" w:hAnsi="Times New Roman"/>
                <w:iCs/>
              </w:rPr>
              <w:t xml:space="preserve">, Zoccoli G. </w:t>
            </w:r>
            <w:bookmarkStart w:id="1" w:name="_Hlk80614384"/>
            <w:proofErr w:type="spellStart"/>
            <w:r w:rsidRPr="00977E38">
              <w:rPr>
                <w:rFonts w:ascii="Times New Roman" w:hAnsi="Times New Roman"/>
                <w:b/>
                <w:bCs/>
                <w:iCs/>
              </w:rPr>
              <w:t>Sleep</w:t>
            </w:r>
            <w:proofErr w:type="spellEnd"/>
            <w:r w:rsidRPr="00977E38">
              <w:rPr>
                <w:rFonts w:ascii="Times New Roman" w:hAnsi="Times New Roman"/>
                <w:iCs/>
              </w:rPr>
              <w:t xml:space="preserve"> 2021;44(7):zsab022.doi: 10.1093/</w:t>
            </w:r>
            <w:proofErr w:type="spellStart"/>
            <w:r w:rsidRPr="00977E38">
              <w:rPr>
                <w:rFonts w:ascii="Times New Roman" w:hAnsi="Times New Roman"/>
                <w:iCs/>
              </w:rPr>
              <w:t>sleep</w:t>
            </w:r>
            <w:proofErr w:type="spellEnd"/>
            <w:r w:rsidRPr="00977E38">
              <w:rPr>
                <w:rFonts w:ascii="Times New Roman" w:hAnsi="Times New Roman"/>
                <w:iCs/>
              </w:rPr>
              <w:t>/zsab022.</w:t>
            </w:r>
            <w:bookmarkEnd w:id="1"/>
          </w:p>
        </w:tc>
        <w:tc>
          <w:tcPr>
            <w:tcW w:w="1842" w:type="dxa"/>
          </w:tcPr>
          <w:p w14:paraId="0562CB0E" w14:textId="48EE702A" w:rsidR="00871703" w:rsidRPr="00977E38" w:rsidRDefault="00977E38" w:rsidP="003D1FF3">
            <w:pPr>
              <w:rPr>
                <w:rFonts w:ascii="Arial" w:hAnsi="Arial" w:cs="Arial"/>
                <w:b/>
              </w:rPr>
            </w:pPr>
            <w:proofErr w:type="spellStart"/>
            <w:r>
              <w:rPr>
                <w:rFonts w:ascii="Arial" w:hAnsi="Arial" w:cs="Arial"/>
                <w:b/>
              </w:rPr>
              <w:t>Neurology</w:t>
            </w:r>
            <w:proofErr w:type="spellEnd"/>
          </w:p>
        </w:tc>
        <w:tc>
          <w:tcPr>
            <w:tcW w:w="1418" w:type="dxa"/>
          </w:tcPr>
          <w:p w14:paraId="34CE0A41" w14:textId="6241E10A" w:rsidR="00871703" w:rsidRPr="00977E38" w:rsidRDefault="00977E38" w:rsidP="003D1FF3">
            <w:pPr>
              <w:rPr>
                <w:rFonts w:ascii="Arial" w:hAnsi="Arial" w:cs="Arial"/>
                <w:b/>
              </w:rPr>
            </w:pPr>
            <w:r>
              <w:rPr>
                <w:rFonts w:ascii="Arial" w:hAnsi="Arial" w:cs="Arial"/>
                <w:b/>
              </w:rPr>
              <w:t>5,849</w:t>
            </w:r>
          </w:p>
        </w:tc>
        <w:tc>
          <w:tcPr>
            <w:tcW w:w="1559" w:type="dxa"/>
          </w:tcPr>
          <w:p w14:paraId="62EBF3C5" w14:textId="2731D1AF" w:rsidR="00871703" w:rsidRPr="00D069D7" w:rsidRDefault="00977E38" w:rsidP="003D1FF3">
            <w:pPr>
              <w:rPr>
                <w:rFonts w:ascii="Arial" w:hAnsi="Arial" w:cs="Arial"/>
                <w:b/>
              </w:rPr>
            </w:pPr>
            <w:r>
              <w:rPr>
                <w:rFonts w:ascii="Arial" w:hAnsi="Arial" w:cs="Arial"/>
                <w:b/>
              </w:rPr>
              <w:t>Q1</w:t>
            </w:r>
          </w:p>
        </w:tc>
        <w:tc>
          <w:tcPr>
            <w:tcW w:w="851" w:type="dxa"/>
          </w:tcPr>
          <w:p w14:paraId="6D98A12B" w14:textId="77777777" w:rsidR="00871703" w:rsidRPr="00D069D7" w:rsidRDefault="00871703" w:rsidP="003D1FF3">
            <w:pPr>
              <w:rPr>
                <w:rFonts w:ascii="Arial" w:hAnsi="Arial" w:cs="Arial"/>
              </w:rPr>
            </w:pPr>
          </w:p>
        </w:tc>
      </w:tr>
      <w:tr w:rsidR="00977E38" w:rsidRPr="00977E38" w14:paraId="0D1BBE60" w14:textId="77777777" w:rsidTr="00F705C6">
        <w:tc>
          <w:tcPr>
            <w:tcW w:w="567" w:type="dxa"/>
          </w:tcPr>
          <w:p w14:paraId="69CA7235" w14:textId="2D739E54" w:rsidR="00977E38" w:rsidRPr="000B07B8" w:rsidRDefault="00977E38" w:rsidP="003D1FF3">
            <w:pPr>
              <w:rPr>
                <w:rFonts w:ascii="Arial" w:hAnsi="Arial" w:cs="Arial"/>
                <w:b/>
              </w:rPr>
            </w:pPr>
            <w:r>
              <w:rPr>
                <w:rFonts w:ascii="Arial" w:hAnsi="Arial" w:cs="Arial"/>
                <w:b/>
              </w:rPr>
              <w:t>3.</w:t>
            </w:r>
          </w:p>
        </w:tc>
        <w:tc>
          <w:tcPr>
            <w:tcW w:w="4395" w:type="dxa"/>
          </w:tcPr>
          <w:p w14:paraId="168C4A9A" w14:textId="4588B5F4" w:rsidR="00977E38" w:rsidRPr="00977E38" w:rsidRDefault="00977E38" w:rsidP="00977E38">
            <w:pPr>
              <w:spacing w:line="300" w:lineRule="exact"/>
              <w:jc w:val="both"/>
              <w:rPr>
                <w:sz w:val="20"/>
                <w:lang w:val="en-US"/>
              </w:rPr>
            </w:pPr>
            <w:r w:rsidRPr="00202E7B">
              <w:rPr>
                <w:iCs/>
                <w:sz w:val="20"/>
                <w:lang w:val="en-US"/>
              </w:rPr>
              <w:t xml:space="preserve">Cardiovascular </w:t>
            </w:r>
            <w:r>
              <w:rPr>
                <w:iCs/>
                <w:sz w:val="20"/>
                <w:lang w:val="en-US"/>
              </w:rPr>
              <w:t>d</w:t>
            </w:r>
            <w:r w:rsidRPr="00202E7B">
              <w:rPr>
                <w:iCs/>
                <w:sz w:val="20"/>
                <w:lang w:val="en-US"/>
              </w:rPr>
              <w:t xml:space="preserve">isorders in </w:t>
            </w:r>
            <w:r>
              <w:rPr>
                <w:iCs/>
                <w:sz w:val="20"/>
                <w:lang w:val="en-US"/>
              </w:rPr>
              <w:t>n</w:t>
            </w:r>
            <w:r w:rsidRPr="00202E7B">
              <w:rPr>
                <w:iCs/>
                <w:sz w:val="20"/>
                <w:lang w:val="en-US"/>
              </w:rPr>
              <w:t xml:space="preserve">arcolepsy: </w:t>
            </w:r>
            <w:r>
              <w:rPr>
                <w:iCs/>
                <w:sz w:val="20"/>
                <w:lang w:val="en-US"/>
              </w:rPr>
              <w:t>r</w:t>
            </w:r>
            <w:r w:rsidRPr="00202E7B">
              <w:rPr>
                <w:iCs/>
                <w:sz w:val="20"/>
                <w:lang w:val="en-US"/>
              </w:rPr>
              <w:t xml:space="preserve">eview of </w:t>
            </w:r>
            <w:r>
              <w:rPr>
                <w:iCs/>
                <w:sz w:val="20"/>
                <w:lang w:val="en-US"/>
              </w:rPr>
              <w:t>a</w:t>
            </w:r>
            <w:r w:rsidRPr="00202E7B">
              <w:rPr>
                <w:iCs/>
                <w:sz w:val="20"/>
                <w:lang w:val="en-US"/>
              </w:rPr>
              <w:t xml:space="preserve">ssociations and </w:t>
            </w:r>
            <w:r>
              <w:rPr>
                <w:iCs/>
                <w:sz w:val="20"/>
                <w:lang w:val="en-US"/>
              </w:rPr>
              <w:t>d</w:t>
            </w:r>
            <w:r w:rsidRPr="00202E7B">
              <w:rPr>
                <w:iCs/>
                <w:sz w:val="20"/>
                <w:lang w:val="en-US"/>
              </w:rPr>
              <w:t>eterminants</w:t>
            </w:r>
            <w:r>
              <w:rPr>
                <w:iCs/>
                <w:sz w:val="20"/>
                <w:lang w:val="en-US"/>
              </w:rPr>
              <w:t xml:space="preserve">. </w:t>
            </w:r>
            <w:proofErr w:type="spellStart"/>
            <w:r w:rsidRPr="00EE40C6">
              <w:rPr>
                <w:iCs/>
                <w:sz w:val="20"/>
                <w:lang w:val="en-US"/>
              </w:rPr>
              <w:t>Jennum</w:t>
            </w:r>
            <w:proofErr w:type="spellEnd"/>
            <w:r w:rsidRPr="00EE40C6">
              <w:rPr>
                <w:iCs/>
                <w:sz w:val="20"/>
                <w:lang w:val="en-US"/>
              </w:rPr>
              <w:t xml:space="preserve"> PJ, </w:t>
            </w:r>
            <w:proofErr w:type="spellStart"/>
            <w:r w:rsidRPr="00EE40C6">
              <w:rPr>
                <w:iCs/>
                <w:sz w:val="20"/>
                <w:lang w:val="en-US"/>
              </w:rPr>
              <w:t>Plazzi</w:t>
            </w:r>
            <w:proofErr w:type="spellEnd"/>
            <w:r w:rsidRPr="00EE40C6">
              <w:rPr>
                <w:iCs/>
                <w:sz w:val="20"/>
                <w:lang w:val="en-US"/>
              </w:rPr>
              <w:t xml:space="preserve"> G, </w:t>
            </w:r>
            <w:r w:rsidRPr="00EE40C6">
              <w:rPr>
                <w:iCs/>
                <w:sz w:val="20"/>
                <w:u w:val="single"/>
                <w:lang w:val="en-US"/>
              </w:rPr>
              <w:t>Silvani A</w:t>
            </w:r>
            <w:r w:rsidRPr="00EE40C6">
              <w:rPr>
                <w:iCs/>
                <w:sz w:val="20"/>
                <w:lang w:val="en-US"/>
              </w:rPr>
              <w:t xml:space="preserve">, </w:t>
            </w:r>
            <w:proofErr w:type="spellStart"/>
            <w:r w:rsidRPr="00EE40C6">
              <w:rPr>
                <w:iCs/>
                <w:sz w:val="20"/>
                <w:lang w:val="en-US"/>
              </w:rPr>
              <w:t>Surkin</w:t>
            </w:r>
            <w:proofErr w:type="spellEnd"/>
            <w:r w:rsidRPr="00EE40C6">
              <w:rPr>
                <w:iCs/>
                <w:sz w:val="20"/>
                <w:lang w:val="en-US"/>
              </w:rPr>
              <w:t xml:space="preserve"> LA, </w:t>
            </w:r>
            <w:proofErr w:type="spellStart"/>
            <w:r w:rsidRPr="00EE40C6">
              <w:rPr>
                <w:iCs/>
                <w:sz w:val="20"/>
                <w:lang w:val="en-US"/>
              </w:rPr>
              <w:t>Dauvilliers</w:t>
            </w:r>
            <w:proofErr w:type="spellEnd"/>
            <w:r w:rsidRPr="00EE40C6">
              <w:rPr>
                <w:iCs/>
                <w:sz w:val="20"/>
                <w:lang w:val="en-US"/>
              </w:rPr>
              <w:t xml:space="preserve"> Y. </w:t>
            </w:r>
            <w:r w:rsidRPr="00EE40C6">
              <w:rPr>
                <w:b/>
                <w:bCs/>
                <w:sz w:val="20"/>
                <w:lang w:val="en-US"/>
              </w:rPr>
              <w:t xml:space="preserve">Sleep Med Rev </w:t>
            </w:r>
            <w:r w:rsidRPr="004F3823">
              <w:rPr>
                <w:sz w:val="20"/>
                <w:lang w:val="en-US"/>
              </w:rPr>
              <w:t xml:space="preserve">2021 Jan 23;58:101440. </w:t>
            </w:r>
            <w:proofErr w:type="spellStart"/>
            <w:r w:rsidRPr="004F3823">
              <w:rPr>
                <w:sz w:val="20"/>
                <w:lang w:val="en-US"/>
              </w:rPr>
              <w:t>doi</w:t>
            </w:r>
            <w:proofErr w:type="spellEnd"/>
            <w:r w:rsidRPr="004F3823">
              <w:rPr>
                <w:sz w:val="20"/>
                <w:lang w:val="en-US"/>
              </w:rPr>
              <w:t xml:space="preserve">: 10.1016/j.smrv.2021.101440. </w:t>
            </w:r>
          </w:p>
        </w:tc>
        <w:tc>
          <w:tcPr>
            <w:tcW w:w="1842" w:type="dxa"/>
          </w:tcPr>
          <w:p w14:paraId="1F16A647" w14:textId="33F69B32" w:rsidR="00977E38" w:rsidRPr="00977E38" w:rsidRDefault="00977E38" w:rsidP="003D1FF3">
            <w:pPr>
              <w:rPr>
                <w:rFonts w:ascii="Arial" w:hAnsi="Arial" w:cs="Arial"/>
                <w:b/>
                <w:lang w:val="en-US"/>
              </w:rPr>
            </w:pPr>
            <w:r>
              <w:rPr>
                <w:rFonts w:ascii="Arial" w:hAnsi="Arial" w:cs="Arial"/>
                <w:b/>
                <w:lang w:val="en-US"/>
              </w:rPr>
              <w:t>Neurosciences</w:t>
            </w:r>
          </w:p>
        </w:tc>
        <w:tc>
          <w:tcPr>
            <w:tcW w:w="1418" w:type="dxa"/>
          </w:tcPr>
          <w:p w14:paraId="42F5AB57" w14:textId="2BFFA58D" w:rsidR="00977E38" w:rsidRPr="00977E38" w:rsidRDefault="00977E38" w:rsidP="003D1FF3">
            <w:pPr>
              <w:rPr>
                <w:rFonts w:ascii="Arial" w:hAnsi="Arial" w:cs="Arial"/>
                <w:b/>
                <w:lang w:val="en-US"/>
              </w:rPr>
            </w:pPr>
            <w:r>
              <w:rPr>
                <w:rFonts w:ascii="Arial" w:hAnsi="Arial" w:cs="Arial"/>
                <w:b/>
                <w:lang w:val="en-US"/>
              </w:rPr>
              <w:t>11,609</w:t>
            </w:r>
          </w:p>
        </w:tc>
        <w:tc>
          <w:tcPr>
            <w:tcW w:w="1559" w:type="dxa"/>
          </w:tcPr>
          <w:p w14:paraId="65BAEF43" w14:textId="769E5968" w:rsidR="00977E38" w:rsidRPr="00977E38" w:rsidRDefault="00977E38" w:rsidP="003D1FF3">
            <w:pPr>
              <w:rPr>
                <w:rFonts w:ascii="Arial" w:hAnsi="Arial" w:cs="Arial"/>
                <w:b/>
                <w:lang w:val="en-US"/>
              </w:rPr>
            </w:pPr>
            <w:r>
              <w:rPr>
                <w:rFonts w:ascii="Arial" w:hAnsi="Arial" w:cs="Arial"/>
                <w:b/>
                <w:lang w:val="en-US"/>
              </w:rPr>
              <w:t>Q1</w:t>
            </w:r>
          </w:p>
        </w:tc>
        <w:tc>
          <w:tcPr>
            <w:tcW w:w="851" w:type="dxa"/>
          </w:tcPr>
          <w:p w14:paraId="4F79C231" w14:textId="77777777" w:rsidR="00977E38" w:rsidRPr="00977E38" w:rsidRDefault="00977E38" w:rsidP="003D1FF3">
            <w:pPr>
              <w:rPr>
                <w:rFonts w:ascii="Arial" w:hAnsi="Arial" w:cs="Arial"/>
                <w:lang w:val="en-US"/>
              </w:rPr>
            </w:pPr>
          </w:p>
        </w:tc>
      </w:tr>
      <w:tr w:rsidR="00F4572F" w:rsidRPr="00F4572F" w14:paraId="4C8AEBAB" w14:textId="77777777" w:rsidTr="00F705C6">
        <w:tc>
          <w:tcPr>
            <w:tcW w:w="567" w:type="dxa"/>
          </w:tcPr>
          <w:p w14:paraId="1F8D9071" w14:textId="2784D14F" w:rsidR="00F4572F" w:rsidRPr="000B07B8" w:rsidRDefault="00F4572F" w:rsidP="00F4572F">
            <w:pPr>
              <w:rPr>
                <w:rFonts w:ascii="Arial" w:hAnsi="Arial" w:cs="Arial"/>
                <w:b/>
              </w:rPr>
            </w:pPr>
            <w:r>
              <w:rPr>
                <w:rFonts w:ascii="Arial" w:hAnsi="Arial" w:cs="Arial"/>
                <w:b/>
              </w:rPr>
              <w:t>4.</w:t>
            </w:r>
          </w:p>
        </w:tc>
        <w:tc>
          <w:tcPr>
            <w:tcW w:w="4395" w:type="dxa"/>
          </w:tcPr>
          <w:p w14:paraId="14EAF12E" w14:textId="033CC7AD" w:rsidR="00F4572F" w:rsidRPr="00F4572F" w:rsidRDefault="00F4572F" w:rsidP="00F4572F">
            <w:pPr>
              <w:spacing w:line="320" w:lineRule="exact"/>
              <w:jc w:val="both"/>
              <w:rPr>
                <w:sz w:val="20"/>
                <w:lang w:val="en-US"/>
              </w:rPr>
            </w:pPr>
            <w:r w:rsidRPr="009840FD">
              <w:rPr>
                <w:sz w:val="20"/>
                <w:lang w:val="en-US"/>
              </w:rPr>
              <w:t>C</w:t>
            </w:r>
            <w:r>
              <w:rPr>
                <w:sz w:val="20"/>
                <w:lang w:val="en-US"/>
              </w:rPr>
              <w:t xml:space="preserve">ombining information on nocturnal REM sleep latency and atonia to facilitate diagnosis of pediatric narcolepsy type 1. </w:t>
            </w:r>
            <w:r w:rsidRPr="00F4572F">
              <w:rPr>
                <w:sz w:val="20"/>
                <w:u w:val="single"/>
                <w:lang w:val="en-US"/>
              </w:rPr>
              <w:t>Silvani A</w:t>
            </w:r>
            <w:r w:rsidRPr="00F4572F">
              <w:rPr>
                <w:sz w:val="20"/>
                <w:lang w:val="en-US"/>
              </w:rPr>
              <w:t xml:space="preserve">*, </w:t>
            </w:r>
            <w:proofErr w:type="spellStart"/>
            <w:r w:rsidRPr="00F4572F">
              <w:rPr>
                <w:sz w:val="20"/>
                <w:lang w:val="en-US"/>
              </w:rPr>
              <w:t>Vandi</w:t>
            </w:r>
            <w:proofErr w:type="spellEnd"/>
            <w:r w:rsidRPr="00F4572F">
              <w:rPr>
                <w:sz w:val="20"/>
                <w:lang w:val="en-US"/>
              </w:rPr>
              <w:t xml:space="preserve"> S*, Pizza F, </w:t>
            </w:r>
            <w:proofErr w:type="spellStart"/>
            <w:r w:rsidRPr="00F4572F">
              <w:rPr>
                <w:sz w:val="20"/>
                <w:lang w:val="en-US"/>
              </w:rPr>
              <w:t>Antelmi</w:t>
            </w:r>
            <w:proofErr w:type="spellEnd"/>
            <w:r w:rsidRPr="00F4572F">
              <w:rPr>
                <w:sz w:val="20"/>
                <w:lang w:val="en-US"/>
              </w:rPr>
              <w:t xml:space="preserve"> E, </w:t>
            </w:r>
            <w:proofErr w:type="spellStart"/>
            <w:r w:rsidRPr="00F4572F">
              <w:rPr>
                <w:sz w:val="20"/>
                <w:lang w:val="en-US"/>
              </w:rPr>
              <w:t>Ferri</w:t>
            </w:r>
            <w:proofErr w:type="spellEnd"/>
            <w:r w:rsidRPr="00F4572F">
              <w:rPr>
                <w:sz w:val="20"/>
                <w:lang w:val="en-US"/>
              </w:rPr>
              <w:t xml:space="preserve"> R, </w:t>
            </w:r>
            <w:proofErr w:type="spellStart"/>
            <w:r w:rsidRPr="00F4572F">
              <w:rPr>
                <w:sz w:val="20"/>
                <w:lang w:val="en-US"/>
              </w:rPr>
              <w:t>Plazzi</w:t>
            </w:r>
            <w:proofErr w:type="spellEnd"/>
            <w:r w:rsidRPr="00F4572F">
              <w:rPr>
                <w:sz w:val="20"/>
                <w:lang w:val="en-US"/>
              </w:rPr>
              <w:t xml:space="preserve"> G. (</w:t>
            </w:r>
            <w:r w:rsidRPr="00C93B07">
              <w:rPr>
                <w:sz w:val="20"/>
                <w:lang w:val="en-US"/>
              </w:rPr>
              <w:t>*</w:t>
            </w:r>
            <w:r>
              <w:rPr>
                <w:sz w:val="20"/>
                <w:lang w:val="en-US"/>
              </w:rPr>
              <w:t>:</w:t>
            </w:r>
            <w:r w:rsidRPr="00C93B07">
              <w:rPr>
                <w:sz w:val="20"/>
                <w:lang w:val="en-US"/>
              </w:rPr>
              <w:t xml:space="preserve"> </w:t>
            </w:r>
            <w:r>
              <w:rPr>
                <w:sz w:val="20"/>
                <w:lang w:val="en-US"/>
              </w:rPr>
              <w:t>joint first authors</w:t>
            </w:r>
            <w:r w:rsidRPr="00C93B07">
              <w:rPr>
                <w:sz w:val="20"/>
                <w:lang w:val="en-US"/>
              </w:rPr>
              <w:t>)</w:t>
            </w:r>
            <w:r>
              <w:rPr>
                <w:sz w:val="20"/>
                <w:lang w:val="en-US"/>
              </w:rPr>
              <w:t xml:space="preserve">. </w:t>
            </w:r>
            <w:r w:rsidRPr="00F4572F">
              <w:rPr>
                <w:b/>
                <w:bCs/>
                <w:sz w:val="20"/>
                <w:lang w:val="en-US"/>
              </w:rPr>
              <w:t xml:space="preserve">Sleep </w:t>
            </w:r>
            <w:r w:rsidRPr="00F4572F">
              <w:rPr>
                <w:sz w:val="20"/>
                <w:lang w:val="en-US"/>
              </w:rPr>
              <w:t xml:space="preserve">2020 Oct </w:t>
            </w:r>
            <w:proofErr w:type="gramStart"/>
            <w:r w:rsidRPr="00F4572F">
              <w:rPr>
                <w:sz w:val="20"/>
                <w:lang w:val="en-US"/>
              </w:rPr>
              <w:t>9;zsaa</w:t>
            </w:r>
            <w:proofErr w:type="gramEnd"/>
            <w:r w:rsidRPr="00F4572F">
              <w:rPr>
                <w:sz w:val="20"/>
                <w:lang w:val="en-US"/>
              </w:rPr>
              <w:t xml:space="preserve">203. </w:t>
            </w:r>
            <w:proofErr w:type="spellStart"/>
            <w:r w:rsidRPr="00F4572F">
              <w:rPr>
                <w:sz w:val="20"/>
                <w:lang w:val="en-US"/>
              </w:rPr>
              <w:t>doi</w:t>
            </w:r>
            <w:proofErr w:type="spellEnd"/>
            <w:r w:rsidRPr="00F4572F">
              <w:rPr>
                <w:sz w:val="20"/>
                <w:lang w:val="en-US"/>
              </w:rPr>
              <w:t xml:space="preserve">: 10.1093/sleep/zsaa203. </w:t>
            </w:r>
          </w:p>
        </w:tc>
        <w:tc>
          <w:tcPr>
            <w:tcW w:w="1842" w:type="dxa"/>
          </w:tcPr>
          <w:p w14:paraId="1433390C" w14:textId="29056757" w:rsidR="00F4572F" w:rsidRPr="00F4572F" w:rsidRDefault="00F4572F" w:rsidP="00F4572F">
            <w:pPr>
              <w:rPr>
                <w:rFonts w:ascii="Arial" w:hAnsi="Arial" w:cs="Arial"/>
                <w:b/>
                <w:lang w:val="en-US"/>
              </w:rPr>
            </w:pPr>
            <w:proofErr w:type="spellStart"/>
            <w:r>
              <w:rPr>
                <w:rFonts w:ascii="Arial" w:hAnsi="Arial" w:cs="Arial"/>
                <w:b/>
              </w:rPr>
              <w:t>Neurology</w:t>
            </w:r>
            <w:proofErr w:type="spellEnd"/>
          </w:p>
        </w:tc>
        <w:tc>
          <w:tcPr>
            <w:tcW w:w="1418" w:type="dxa"/>
          </w:tcPr>
          <w:p w14:paraId="0C2031D7" w14:textId="4F5A4FDE" w:rsidR="00F4572F" w:rsidRPr="00F4572F" w:rsidRDefault="00F4572F" w:rsidP="00F4572F">
            <w:pPr>
              <w:rPr>
                <w:rFonts w:ascii="Arial" w:hAnsi="Arial" w:cs="Arial"/>
                <w:b/>
                <w:lang w:val="en-US"/>
              </w:rPr>
            </w:pPr>
            <w:r>
              <w:rPr>
                <w:rFonts w:ascii="Arial" w:hAnsi="Arial" w:cs="Arial"/>
                <w:b/>
              </w:rPr>
              <w:t>5,849</w:t>
            </w:r>
          </w:p>
        </w:tc>
        <w:tc>
          <w:tcPr>
            <w:tcW w:w="1559" w:type="dxa"/>
          </w:tcPr>
          <w:p w14:paraId="4A24CC96" w14:textId="56B6DAA1" w:rsidR="00F4572F" w:rsidRPr="00F4572F" w:rsidRDefault="00F4572F" w:rsidP="00F4572F">
            <w:pPr>
              <w:rPr>
                <w:rFonts w:ascii="Arial" w:hAnsi="Arial" w:cs="Arial"/>
                <w:b/>
                <w:lang w:val="en-US"/>
              </w:rPr>
            </w:pPr>
            <w:r>
              <w:rPr>
                <w:rFonts w:ascii="Arial" w:hAnsi="Arial" w:cs="Arial"/>
                <w:b/>
              </w:rPr>
              <w:t>Q1</w:t>
            </w:r>
          </w:p>
        </w:tc>
        <w:tc>
          <w:tcPr>
            <w:tcW w:w="851" w:type="dxa"/>
          </w:tcPr>
          <w:p w14:paraId="00C97B46" w14:textId="77777777" w:rsidR="00F4572F" w:rsidRPr="00F4572F" w:rsidRDefault="00F4572F" w:rsidP="00F4572F">
            <w:pPr>
              <w:rPr>
                <w:rFonts w:ascii="Arial" w:hAnsi="Arial" w:cs="Arial"/>
                <w:lang w:val="en-US"/>
              </w:rPr>
            </w:pPr>
          </w:p>
        </w:tc>
      </w:tr>
    </w:tbl>
    <w:p w14:paraId="2946DB82" w14:textId="77777777" w:rsidR="00F83AB5" w:rsidRPr="00F4572F" w:rsidRDefault="00F83AB5" w:rsidP="00F83AB5">
      <w:pPr>
        <w:rPr>
          <w:lang w:val="en-US"/>
        </w:rPr>
      </w:pPr>
    </w:p>
    <w:p w14:paraId="05EC570E" w14:textId="77777777" w:rsidR="00F83AB5" w:rsidRPr="00A31387" w:rsidRDefault="00F83AB5" w:rsidP="00F83AB5">
      <w:pPr>
        <w:rPr>
          <w:b/>
          <w:sz w:val="28"/>
          <w:szCs w:val="28"/>
          <w:u w:val="single"/>
        </w:rPr>
      </w:pPr>
      <w:r w:rsidRPr="00A31387">
        <w:rPr>
          <w:b/>
          <w:sz w:val="28"/>
          <w:szCs w:val="28"/>
          <w:u w:val="single"/>
        </w:rPr>
        <w:t>ALLEGATI</w:t>
      </w:r>
    </w:p>
    <w:p w14:paraId="5997CC1D" w14:textId="77777777" w:rsidR="00F83AB5" w:rsidRPr="00A31387" w:rsidRDefault="00F83AB5" w:rsidP="00F83AB5">
      <w:pPr>
        <w:ind w:left="420"/>
      </w:pPr>
    </w:p>
    <w:p w14:paraId="584DC440" w14:textId="77777777" w:rsidR="00715707" w:rsidRPr="00A31387" w:rsidRDefault="00F83AB5" w:rsidP="00715707">
      <w:pPr>
        <w:numPr>
          <w:ilvl w:val="0"/>
          <w:numId w:val="1"/>
        </w:numPr>
      </w:pPr>
      <w:r w:rsidRPr="00A31387">
        <w:t>P</w:t>
      </w:r>
      <w:r w:rsidR="00715707" w:rsidRPr="00A31387">
        <w:t>rogramma di ricerca</w:t>
      </w:r>
    </w:p>
    <w:p w14:paraId="110FFD37" w14:textId="77777777" w:rsidR="00715707" w:rsidRPr="00A31387" w:rsidRDefault="00715707" w:rsidP="00871703"/>
    <w:p w14:paraId="05F2F837" w14:textId="110732ED" w:rsidR="00715707" w:rsidRPr="00A31387" w:rsidRDefault="00F11895" w:rsidP="00715707">
      <w:pPr>
        <w:numPr>
          <w:ilvl w:val="0"/>
          <w:numId w:val="1"/>
        </w:numPr>
      </w:pPr>
      <w:r w:rsidRPr="00A31387">
        <w:t>Programma</w:t>
      </w:r>
      <w:r w:rsidR="00715707" w:rsidRPr="00A31387">
        <w:t xml:space="preserve"> di </w:t>
      </w:r>
      <w:r w:rsidR="0086699F">
        <w:t>formazione</w:t>
      </w:r>
      <w:r w:rsidR="00715707" w:rsidRPr="00A31387">
        <w:t xml:space="preserve"> dell’Assegnista</w:t>
      </w:r>
    </w:p>
    <w:p w14:paraId="6B699379" w14:textId="77777777" w:rsidR="00715707" w:rsidRPr="00A31387" w:rsidRDefault="00715707" w:rsidP="00871703"/>
    <w:p w14:paraId="1F72F646" w14:textId="77777777" w:rsidR="000069BA" w:rsidRDefault="000069BA" w:rsidP="000069BA">
      <w:pPr>
        <w:pStyle w:val="Paragrafoelenco"/>
      </w:pPr>
    </w:p>
    <w:p w14:paraId="08CE6F91" w14:textId="77777777" w:rsidR="000069BA" w:rsidRPr="008A52BB" w:rsidRDefault="000069BA" w:rsidP="0020260F">
      <w:pPr>
        <w:rPr>
          <w:color w:val="000000"/>
          <w:highlight w:val="red"/>
        </w:rPr>
      </w:pPr>
    </w:p>
    <w:p w14:paraId="5D895168" w14:textId="77777777" w:rsidR="00630766" w:rsidRPr="00D921AB" w:rsidRDefault="00630766" w:rsidP="00630766">
      <w:pPr>
        <w:spacing w:line="360" w:lineRule="exact"/>
        <w:jc w:val="center"/>
        <w:rPr>
          <w:b/>
          <w:color w:val="C00000"/>
        </w:rPr>
      </w:pPr>
      <w:r w:rsidRPr="00D921AB">
        <w:rPr>
          <w:b/>
          <w:color w:val="C00000"/>
          <w:sz w:val="32"/>
        </w:rPr>
        <w:lastRenderedPageBreak/>
        <w:t>PROGRAMMA DI RICERCA</w:t>
      </w:r>
    </w:p>
    <w:p w14:paraId="7804F6B1" w14:textId="77777777" w:rsidR="00630766" w:rsidRPr="002A7880" w:rsidRDefault="00630766" w:rsidP="00630766">
      <w:pPr>
        <w:spacing w:line="360" w:lineRule="exact"/>
        <w:jc w:val="center"/>
        <w:rPr>
          <w:b/>
          <w:color w:val="000000" w:themeColor="text1"/>
          <w:u w:val="single"/>
        </w:rPr>
      </w:pPr>
      <w:bookmarkStart w:id="2" w:name="_Hlk74654948"/>
      <w:r w:rsidRPr="002A7880">
        <w:rPr>
          <w:b/>
          <w:color w:val="000000" w:themeColor="text1"/>
          <w:u w:val="single"/>
        </w:rPr>
        <w:t xml:space="preserve">Richiesta di un assegno di ricerca </w:t>
      </w:r>
      <w:r>
        <w:rPr>
          <w:b/>
          <w:color w:val="000000" w:themeColor="text1"/>
          <w:u w:val="single"/>
        </w:rPr>
        <w:t>co</w:t>
      </w:r>
      <w:r w:rsidRPr="002A7880">
        <w:rPr>
          <w:b/>
          <w:color w:val="000000" w:themeColor="text1"/>
          <w:u w:val="single"/>
        </w:rPr>
        <w:t>fin</w:t>
      </w:r>
      <w:r>
        <w:rPr>
          <w:b/>
          <w:color w:val="000000" w:themeColor="text1"/>
          <w:u w:val="single"/>
        </w:rPr>
        <w:t>anziato su Budget Integrato 2022</w:t>
      </w:r>
    </w:p>
    <w:p w14:paraId="7178E46D" w14:textId="77777777" w:rsidR="00630766" w:rsidRPr="002A7880" w:rsidRDefault="00630766" w:rsidP="00630766">
      <w:pPr>
        <w:spacing w:line="360" w:lineRule="exact"/>
        <w:jc w:val="center"/>
        <w:rPr>
          <w:b/>
          <w:color w:val="000000" w:themeColor="text1"/>
        </w:rPr>
      </w:pPr>
      <w:r w:rsidRPr="002A7880">
        <w:rPr>
          <w:b/>
          <w:color w:val="000000" w:themeColor="text1"/>
        </w:rPr>
        <w:t>TUTOR: PROF. ALESSANDRO SILVANI</w:t>
      </w:r>
    </w:p>
    <w:p w14:paraId="45E01AD0" w14:textId="77777777" w:rsidR="00630766" w:rsidRPr="002A7880" w:rsidRDefault="00630766" w:rsidP="00630766">
      <w:pPr>
        <w:spacing w:line="360" w:lineRule="exact"/>
        <w:jc w:val="center"/>
        <w:rPr>
          <w:b/>
          <w:color w:val="000000" w:themeColor="text1"/>
          <w:sz w:val="28"/>
        </w:rPr>
      </w:pPr>
      <w:r w:rsidRPr="002A7880">
        <w:rPr>
          <w:b/>
          <w:color w:val="000000" w:themeColor="text1"/>
        </w:rPr>
        <w:t>DIP. SCIENZE BIOMEDICHE E NEUROMOTORIE</w:t>
      </w:r>
    </w:p>
    <w:p w14:paraId="41718916" w14:textId="77777777" w:rsidR="00630766" w:rsidRDefault="00630766" w:rsidP="00630766">
      <w:pPr>
        <w:spacing w:line="360" w:lineRule="exact"/>
        <w:jc w:val="center"/>
        <w:rPr>
          <w:b/>
          <w:color w:val="000000" w:themeColor="text1"/>
          <w:sz w:val="28"/>
        </w:rPr>
      </w:pPr>
    </w:p>
    <w:p w14:paraId="3BA4DD92" w14:textId="77777777" w:rsidR="00630766" w:rsidRPr="00D921AB" w:rsidRDefault="00630766" w:rsidP="00630766">
      <w:pPr>
        <w:spacing w:line="360" w:lineRule="exact"/>
        <w:rPr>
          <w:b/>
          <w:color w:val="C00000"/>
          <w:sz w:val="28"/>
        </w:rPr>
      </w:pPr>
      <w:r w:rsidRPr="00D921AB">
        <w:rPr>
          <w:b/>
          <w:color w:val="C00000"/>
          <w:sz w:val="28"/>
        </w:rPr>
        <w:t>Titolo</w:t>
      </w:r>
    </w:p>
    <w:p w14:paraId="3ED4F5F1" w14:textId="77777777" w:rsidR="00630766" w:rsidRDefault="00630766" w:rsidP="00630766">
      <w:pPr>
        <w:spacing w:line="360" w:lineRule="exact"/>
        <w:jc w:val="both"/>
        <w:rPr>
          <w:b/>
          <w:color w:val="000000" w:themeColor="text1"/>
          <w:sz w:val="28"/>
        </w:rPr>
      </w:pPr>
      <w:bookmarkStart w:id="3" w:name="_Hlk101366412"/>
      <w:r w:rsidRPr="00AA7EE2">
        <w:rPr>
          <w:b/>
          <w:color w:val="000000" w:themeColor="text1"/>
          <w:sz w:val="28"/>
        </w:rPr>
        <w:t xml:space="preserve">Sviluppo preclinico di </w:t>
      </w:r>
      <w:r>
        <w:rPr>
          <w:b/>
          <w:color w:val="000000" w:themeColor="text1"/>
          <w:sz w:val="28"/>
        </w:rPr>
        <w:t xml:space="preserve">un </w:t>
      </w:r>
      <w:r w:rsidRPr="00AA7EE2">
        <w:rPr>
          <w:b/>
          <w:color w:val="000000" w:themeColor="text1"/>
          <w:sz w:val="28"/>
        </w:rPr>
        <w:t>agonist</w:t>
      </w:r>
      <w:r>
        <w:rPr>
          <w:b/>
          <w:color w:val="000000" w:themeColor="text1"/>
          <w:sz w:val="28"/>
        </w:rPr>
        <w:t>a</w:t>
      </w:r>
      <w:r w:rsidRPr="00AA7EE2">
        <w:rPr>
          <w:b/>
          <w:color w:val="000000" w:themeColor="text1"/>
          <w:sz w:val="28"/>
        </w:rPr>
        <w:t xml:space="preserve"> dei recettori delle </w:t>
      </w:r>
      <w:proofErr w:type="spellStart"/>
      <w:r w:rsidRPr="00AA7EE2">
        <w:rPr>
          <w:b/>
          <w:color w:val="000000" w:themeColor="text1"/>
          <w:sz w:val="28"/>
        </w:rPr>
        <w:t>orexine</w:t>
      </w:r>
      <w:proofErr w:type="spellEnd"/>
      <w:r w:rsidRPr="00AA7EE2">
        <w:rPr>
          <w:b/>
          <w:color w:val="000000" w:themeColor="text1"/>
          <w:sz w:val="28"/>
        </w:rPr>
        <w:t xml:space="preserve"> per la terapia della narcolessia di tipo 1</w:t>
      </w:r>
    </w:p>
    <w:bookmarkEnd w:id="2"/>
    <w:bookmarkEnd w:id="3"/>
    <w:p w14:paraId="0AEBF878" w14:textId="77777777" w:rsidR="00630766" w:rsidRDefault="00630766" w:rsidP="00630766">
      <w:pPr>
        <w:spacing w:line="360" w:lineRule="exact"/>
        <w:rPr>
          <w:b/>
          <w:color w:val="FF0000"/>
          <w:sz w:val="28"/>
        </w:rPr>
      </w:pPr>
    </w:p>
    <w:p w14:paraId="19A7C5E0" w14:textId="77777777" w:rsidR="00630766" w:rsidRPr="00D921AB" w:rsidRDefault="00630766" w:rsidP="00630766">
      <w:pPr>
        <w:spacing w:line="360" w:lineRule="exact"/>
        <w:rPr>
          <w:b/>
          <w:color w:val="C00000"/>
          <w:sz w:val="28"/>
        </w:rPr>
      </w:pPr>
      <w:r w:rsidRPr="00D921AB">
        <w:rPr>
          <w:b/>
          <w:color w:val="C00000"/>
          <w:sz w:val="28"/>
        </w:rPr>
        <w:t>Stato dell’arte</w:t>
      </w:r>
    </w:p>
    <w:p w14:paraId="545ED147" w14:textId="77777777" w:rsidR="00630766" w:rsidRPr="00275AE3" w:rsidRDefault="00630766" w:rsidP="00630766">
      <w:pPr>
        <w:spacing w:line="360" w:lineRule="exact"/>
        <w:contextualSpacing/>
        <w:jc w:val="both"/>
        <w:rPr>
          <w:szCs w:val="24"/>
        </w:rPr>
      </w:pPr>
      <w:r w:rsidRPr="00275AE3">
        <w:rPr>
          <w:szCs w:val="24"/>
        </w:rPr>
        <w:t xml:space="preserve">Le </w:t>
      </w:r>
      <w:proofErr w:type="spellStart"/>
      <w:r w:rsidRPr="00275AE3">
        <w:rPr>
          <w:szCs w:val="24"/>
        </w:rPr>
        <w:t>orexine</w:t>
      </w:r>
      <w:proofErr w:type="spellEnd"/>
      <w:r w:rsidRPr="00275AE3">
        <w:rPr>
          <w:szCs w:val="24"/>
        </w:rPr>
        <w:t xml:space="preserve"> A e B (OXA e OXB) [1], chiamate anche </w:t>
      </w:r>
      <w:proofErr w:type="spellStart"/>
      <w:r w:rsidRPr="00275AE3">
        <w:rPr>
          <w:szCs w:val="24"/>
        </w:rPr>
        <w:t>ipocretine</w:t>
      </w:r>
      <w:proofErr w:type="spellEnd"/>
      <w:r w:rsidRPr="00275AE3">
        <w:rPr>
          <w:szCs w:val="24"/>
        </w:rPr>
        <w:t xml:space="preserve"> 1 e 2 [2], sono peptidi prodotti da una popolazione di neuroni ipotalamici con attività massima durante la veglia attiva e minima durante il sonno con movimenti oculari rapidi (REM) [3]. Le </w:t>
      </w:r>
      <w:proofErr w:type="spellStart"/>
      <w:r w:rsidRPr="00275AE3">
        <w:rPr>
          <w:szCs w:val="24"/>
        </w:rPr>
        <w:t>orexine</w:t>
      </w:r>
      <w:proofErr w:type="spellEnd"/>
      <w:r w:rsidRPr="00275AE3">
        <w:rPr>
          <w:szCs w:val="24"/>
        </w:rPr>
        <w:t xml:space="preserve"> legano due recettori accoppiati a proteine G, denominati OR1, che è selettivo per OXA, e OR2, che è non selettivo per OXA e OXB [1]. OR1 e OR2 sono ampiamente espressi nel sistema nervoso centrale (SNC) [4], in linea con le diffuse proiezioni dei neuroni </w:t>
      </w:r>
      <w:proofErr w:type="spellStart"/>
      <w:r w:rsidRPr="00275AE3">
        <w:rPr>
          <w:szCs w:val="24"/>
        </w:rPr>
        <w:t>orexinergici</w:t>
      </w:r>
      <w:proofErr w:type="spellEnd"/>
      <w:r w:rsidRPr="00275AE3">
        <w:rPr>
          <w:szCs w:val="24"/>
        </w:rPr>
        <w:t xml:space="preserve"> [5]. Il sistema </w:t>
      </w:r>
      <w:proofErr w:type="spellStart"/>
      <w:r w:rsidRPr="00275AE3">
        <w:rPr>
          <w:szCs w:val="24"/>
        </w:rPr>
        <w:t>orexinergico</w:t>
      </w:r>
      <w:proofErr w:type="spellEnd"/>
      <w:r w:rsidRPr="00275AE3">
        <w:rPr>
          <w:szCs w:val="24"/>
        </w:rPr>
        <w:t xml:space="preserve"> del SNC modula molteplici funzioni fisiologiche, tra cui il comportamento di veglia e sonno, l'omeostasi energetica e il controllo autonomico dell’apparato cardiovascolare [6-8]. I recettori OR1 e OR2 sono espressi anche al di fuori del SNC, in sedi che includono il tessuto adiposo, l’apparato riproduttivo maschile [4], il cuore [9] ed il midollo osseo [10]. I recettori delle </w:t>
      </w:r>
      <w:proofErr w:type="spellStart"/>
      <w:r w:rsidRPr="00275AE3">
        <w:rPr>
          <w:szCs w:val="24"/>
        </w:rPr>
        <w:t>orexine</w:t>
      </w:r>
      <w:proofErr w:type="spellEnd"/>
      <w:r w:rsidRPr="00275AE3">
        <w:rPr>
          <w:szCs w:val="24"/>
        </w:rPr>
        <w:t xml:space="preserve"> al di fuori del SNC possono essere rilevanti per la fisiopatologia dello scompenso cardiaco [9] e dell’aterosclerosi [10] e possono legare le </w:t>
      </w:r>
      <w:proofErr w:type="spellStart"/>
      <w:r w:rsidRPr="00275AE3">
        <w:rPr>
          <w:szCs w:val="24"/>
        </w:rPr>
        <w:t>orexine</w:t>
      </w:r>
      <w:proofErr w:type="spellEnd"/>
      <w:r w:rsidRPr="00275AE3">
        <w:rPr>
          <w:szCs w:val="24"/>
        </w:rPr>
        <w:t xml:space="preserve"> che si riversano nella circolazione sistemica dopo il loro rilascio nel SNC da parte dei neuroni ipotalamici che le producono [10].</w:t>
      </w:r>
    </w:p>
    <w:p w14:paraId="548F85C1" w14:textId="77777777" w:rsidR="00630766" w:rsidRPr="00275AE3" w:rsidRDefault="00630766" w:rsidP="00630766">
      <w:pPr>
        <w:spacing w:line="360" w:lineRule="exact"/>
        <w:contextualSpacing/>
        <w:jc w:val="both"/>
        <w:rPr>
          <w:szCs w:val="24"/>
        </w:rPr>
      </w:pPr>
      <w:r w:rsidRPr="00275AE3">
        <w:rPr>
          <w:szCs w:val="24"/>
        </w:rPr>
        <w:t xml:space="preserve">Il peptide OXA è relativamente protetto dall'inattivazione da parte delle peptidasi tramite due ponti disolfuro, un residuo </w:t>
      </w:r>
      <w:proofErr w:type="spellStart"/>
      <w:r w:rsidRPr="00275AE3">
        <w:rPr>
          <w:szCs w:val="24"/>
        </w:rPr>
        <w:t>piroglutammico</w:t>
      </w:r>
      <w:proofErr w:type="spellEnd"/>
      <w:r w:rsidRPr="00275AE3">
        <w:rPr>
          <w:szCs w:val="24"/>
        </w:rPr>
        <w:t xml:space="preserve"> N-terminale e l’</w:t>
      </w:r>
      <w:proofErr w:type="spellStart"/>
      <w:r w:rsidRPr="00275AE3">
        <w:rPr>
          <w:szCs w:val="24"/>
        </w:rPr>
        <w:t>amidazione</w:t>
      </w:r>
      <w:proofErr w:type="spellEnd"/>
      <w:r w:rsidRPr="00275AE3">
        <w:rPr>
          <w:szCs w:val="24"/>
        </w:rPr>
        <w:t xml:space="preserve"> C-terminale [1]. Al contrario, OXB è un peptide lineare con un terminale N libero [1] ed è rapidamente metabolizzato nel sangue [11] e persino nel liquido cerebrospinale (CSF) [12]. La permeabilità della barriera ematoencefalica (B</w:t>
      </w:r>
      <w:r>
        <w:rPr>
          <w:szCs w:val="24"/>
        </w:rPr>
        <w:t>EE</w:t>
      </w:r>
      <w:r w:rsidRPr="00275AE3">
        <w:rPr>
          <w:szCs w:val="24"/>
        </w:rPr>
        <w:t>) a OXA è ancora dibattuta. È stato riportato che OXA entra rapidamente nel cervello del topo per semplice diffusione [11], un risultato in linea con altri esperimenti compiuti su ratti [13, 14] e con dati funzionali ottenuti su cani [15]. Tuttavia, un altro studio ha riportato una penetrazione cerebrale trascurabile (&lt; 1%) di OXA in topi e ratti [16], e anche questa conclusione è stata supportata da dati ottenuti sui cani [17].</w:t>
      </w:r>
    </w:p>
    <w:p w14:paraId="210B2BB6" w14:textId="77777777" w:rsidR="00630766" w:rsidRPr="00275AE3" w:rsidRDefault="00630766" w:rsidP="00630766">
      <w:pPr>
        <w:spacing w:line="360" w:lineRule="exact"/>
        <w:contextualSpacing/>
        <w:jc w:val="both"/>
        <w:rPr>
          <w:szCs w:val="24"/>
        </w:rPr>
      </w:pPr>
      <w:r w:rsidRPr="00275AE3">
        <w:rPr>
          <w:szCs w:val="24"/>
        </w:rPr>
        <w:t xml:space="preserve">La narcolessia di tipo 1 (NT1) è una malattia rara (prevalenza 14/100.000 soggetti [18]) e grave, associata alla perdita quasi completa dei neuroni </w:t>
      </w:r>
      <w:proofErr w:type="spellStart"/>
      <w:r w:rsidRPr="00275AE3">
        <w:rPr>
          <w:szCs w:val="24"/>
        </w:rPr>
        <w:t>orexinergici</w:t>
      </w:r>
      <w:proofErr w:type="spellEnd"/>
      <w:r w:rsidRPr="00275AE3">
        <w:rPr>
          <w:szCs w:val="24"/>
        </w:rPr>
        <w:t xml:space="preserve"> [19] probabilmente a causa di un danno autoimmune [20]. La NT1 è caratterizzata da un'ampia serie di segni e sintomi che includono eccessiva sonnolenza diurna, sonno frammentato con aumento del tono muscolare, </w:t>
      </w:r>
      <w:r w:rsidRPr="00275AE3">
        <w:rPr>
          <w:szCs w:val="24"/>
        </w:rPr>
        <w:lastRenderedPageBreak/>
        <w:t>maggiore propensione e ridotta latenza al sonno REM con episodi di sonno REM all’inizio del sonno (</w:t>
      </w:r>
      <w:proofErr w:type="spellStart"/>
      <w:r w:rsidRPr="00275AE3">
        <w:rPr>
          <w:szCs w:val="24"/>
        </w:rPr>
        <w:t>SOREMs</w:t>
      </w:r>
      <w:proofErr w:type="spellEnd"/>
      <w:r w:rsidRPr="00275AE3">
        <w:rPr>
          <w:szCs w:val="24"/>
        </w:rPr>
        <w:t>), cataplessia (perdita di tono muscolare durante la veglia, spesso evocata da emozioni positive), una tendenza all'obesità e un profilo di pressione arteriosa non-</w:t>
      </w:r>
      <w:proofErr w:type="spellStart"/>
      <w:r w:rsidRPr="00275AE3">
        <w:rPr>
          <w:szCs w:val="24"/>
        </w:rPr>
        <w:t>dipper</w:t>
      </w:r>
      <w:proofErr w:type="spellEnd"/>
      <w:r w:rsidRPr="00275AE3">
        <w:rPr>
          <w:szCs w:val="24"/>
        </w:rPr>
        <w:t xml:space="preserve"> [7, 20]. Una condizione clinica simile alla NT1 umana si verifica nei cani a causa della mutazione del gene che codifica OR2 o come forma sporadica per carenza delle </w:t>
      </w:r>
      <w:proofErr w:type="spellStart"/>
      <w:r w:rsidRPr="00275AE3">
        <w:rPr>
          <w:szCs w:val="24"/>
        </w:rPr>
        <w:t>orexine</w:t>
      </w:r>
      <w:proofErr w:type="spellEnd"/>
      <w:r w:rsidRPr="00275AE3">
        <w:rPr>
          <w:szCs w:val="24"/>
        </w:rPr>
        <w:t xml:space="preserve"> [21]. Il quadro clinico della NT1 è ricapitolato sia in topi transgenici OX-ATX3 con ablazione genetica dei neuroni </w:t>
      </w:r>
      <w:proofErr w:type="spellStart"/>
      <w:r w:rsidRPr="00275AE3">
        <w:rPr>
          <w:szCs w:val="24"/>
        </w:rPr>
        <w:t>orexinergici</w:t>
      </w:r>
      <w:proofErr w:type="spellEnd"/>
      <w:r w:rsidRPr="00275AE3">
        <w:rPr>
          <w:szCs w:val="24"/>
        </w:rPr>
        <w:t xml:space="preserve"> [22] sia in topi knockout per le </w:t>
      </w:r>
      <w:proofErr w:type="spellStart"/>
      <w:r w:rsidRPr="00275AE3">
        <w:rPr>
          <w:szCs w:val="24"/>
        </w:rPr>
        <w:t>orexine</w:t>
      </w:r>
      <w:proofErr w:type="spellEnd"/>
      <w:r w:rsidRPr="00275AE3">
        <w:rPr>
          <w:szCs w:val="24"/>
        </w:rPr>
        <w:t xml:space="preserve"> (OX-KO) [23]. I dati sui topi doppi knockout (KO) per OR1 e OR2 hanno indicato che la mancanza di legame delle </w:t>
      </w:r>
      <w:proofErr w:type="spellStart"/>
      <w:r w:rsidRPr="00275AE3">
        <w:rPr>
          <w:szCs w:val="24"/>
        </w:rPr>
        <w:t>orexine</w:t>
      </w:r>
      <w:proofErr w:type="spellEnd"/>
      <w:r w:rsidRPr="00275AE3">
        <w:rPr>
          <w:szCs w:val="24"/>
        </w:rPr>
        <w:t xml:space="preserve"> con OR1 e con OR2 è necessaria affinché il fenotipo murino ricapitoli il quadro clinico completo della NT1 umana, con OR2 che svolge il ruolo maggiore [24, 25]. In accordo con questi dati, la terapia genica dell'</w:t>
      </w:r>
      <w:proofErr w:type="spellStart"/>
      <w:r w:rsidRPr="00275AE3">
        <w:rPr>
          <w:szCs w:val="24"/>
        </w:rPr>
        <w:t>orexina</w:t>
      </w:r>
      <w:proofErr w:type="spellEnd"/>
      <w:r w:rsidRPr="00275AE3">
        <w:rPr>
          <w:szCs w:val="24"/>
        </w:rPr>
        <w:t xml:space="preserve"> migliora il fenotipo patologico dei topi OX-ATX3 [26] e OX-KO [27].</w:t>
      </w:r>
    </w:p>
    <w:p w14:paraId="44989C7D" w14:textId="77777777" w:rsidR="00630766" w:rsidRPr="00275AE3" w:rsidRDefault="00630766" w:rsidP="00630766">
      <w:pPr>
        <w:spacing w:line="360" w:lineRule="exact"/>
        <w:contextualSpacing/>
        <w:jc w:val="both"/>
        <w:rPr>
          <w:szCs w:val="24"/>
        </w:rPr>
      </w:pPr>
      <w:r w:rsidRPr="00275AE3">
        <w:rPr>
          <w:szCs w:val="24"/>
        </w:rPr>
        <w:t xml:space="preserve">Nonostante le conoscenze disponibili sulla fisiologia del sistema </w:t>
      </w:r>
      <w:proofErr w:type="spellStart"/>
      <w:r w:rsidRPr="00275AE3">
        <w:rPr>
          <w:szCs w:val="24"/>
        </w:rPr>
        <w:t>orexinergico</w:t>
      </w:r>
      <w:proofErr w:type="spellEnd"/>
      <w:r w:rsidRPr="00275AE3">
        <w:rPr>
          <w:szCs w:val="24"/>
        </w:rPr>
        <w:t xml:space="preserve">, nessuna delle terapie attualmente disponibili per la NT1 si basa sulla sostituzione delle </w:t>
      </w:r>
      <w:proofErr w:type="spellStart"/>
      <w:r w:rsidRPr="00275AE3">
        <w:rPr>
          <w:szCs w:val="24"/>
        </w:rPr>
        <w:t>orexine</w:t>
      </w:r>
      <w:proofErr w:type="spellEnd"/>
      <w:r w:rsidRPr="00275AE3">
        <w:rPr>
          <w:szCs w:val="24"/>
        </w:rPr>
        <w:t xml:space="preserve"> e tutte presentano importanti limitazioni in termini di efficacia ed effetti collaterali [28]. I dati preclinici sull’efficacia della terapia sostitutiva con </w:t>
      </w:r>
      <w:proofErr w:type="spellStart"/>
      <w:r w:rsidRPr="00275AE3">
        <w:rPr>
          <w:szCs w:val="24"/>
        </w:rPr>
        <w:t>orexine</w:t>
      </w:r>
      <w:proofErr w:type="spellEnd"/>
      <w:r w:rsidRPr="00275AE3">
        <w:rPr>
          <w:szCs w:val="24"/>
        </w:rPr>
        <w:t xml:space="preserve"> sono contrastanti. In cani con la forma familiare di NT1, l'efficacia terapeutica di OXA per via endovenosa è stata riportata [15] ma non confermata [17]. La somministrazione endovenosa o intratecale di OXA è risultata inefficace anche su un singolo cane con la forma sporadica di NT1 [29]. D’altra parte, la somministrazione </w:t>
      </w:r>
      <w:proofErr w:type="spellStart"/>
      <w:r w:rsidRPr="00275AE3">
        <w:rPr>
          <w:szCs w:val="24"/>
        </w:rPr>
        <w:t>intracerebroventricolare</w:t>
      </w:r>
      <w:proofErr w:type="spellEnd"/>
      <w:r w:rsidRPr="00275AE3">
        <w:rPr>
          <w:szCs w:val="24"/>
        </w:rPr>
        <w:t xml:space="preserve"> (ICV) [26] o intratecale [30] di OXA si è dimostrata efficace nel ridurre la cataplessia nei topi OX-KO, in cui la somministrazione ICV di OXA aumentava anche la durata della veglia [26]. È stato riportato che la somministrazione intra-nasale di OXA comporta una penetrazione cerebrale di OXA paragonabile a quella ottenuta per via endovenosa nei ratti [14] e una riduzione della durata del sonno REM e dell’incidenza di </w:t>
      </w:r>
      <w:proofErr w:type="spellStart"/>
      <w:r w:rsidRPr="00275AE3">
        <w:rPr>
          <w:szCs w:val="24"/>
        </w:rPr>
        <w:t>SOREMs</w:t>
      </w:r>
      <w:proofErr w:type="spellEnd"/>
      <w:r w:rsidRPr="00275AE3">
        <w:rPr>
          <w:szCs w:val="24"/>
        </w:rPr>
        <w:t xml:space="preserve"> in uno studio pilota su pazienti con NT1 [31]. Nel complesso, questi studi indicano che l'efficacia di OXA somministrata per via sistemica è, nella migliore delle ipotesi, assai limitata, e indicano l’'insufficiente permeabilità della B</w:t>
      </w:r>
      <w:r>
        <w:rPr>
          <w:szCs w:val="24"/>
        </w:rPr>
        <w:t>EE</w:t>
      </w:r>
      <w:r w:rsidRPr="00275AE3">
        <w:rPr>
          <w:szCs w:val="24"/>
        </w:rPr>
        <w:t xml:space="preserve"> come fattore limitante [28].</w:t>
      </w:r>
    </w:p>
    <w:p w14:paraId="2DB84A2B" w14:textId="77777777" w:rsidR="00630766" w:rsidRDefault="00630766" w:rsidP="00630766">
      <w:pPr>
        <w:spacing w:line="360" w:lineRule="exact"/>
        <w:contextualSpacing/>
        <w:jc w:val="both"/>
        <w:rPr>
          <w:szCs w:val="24"/>
        </w:rPr>
      </w:pPr>
      <w:r w:rsidRPr="00275AE3">
        <w:rPr>
          <w:szCs w:val="24"/>
        </w:rPr>
        <w:t>Sono stati compiuti progressi significativi nello sviluppo di agonisti non peptidici selettivi per OR2 in grado di attraversare la B</w:t>
      </w:r>
      <w:r>
        <w:rPr>
          <w:szCs w:val="24"/>
        </w:rPr>
        <w:t>EE</w:t>
      </w:r>
      <w:r w:rsidRPr="00275AE3">
        <w:rPr>
          <w:szCs w:val="24"/>
        </w:rPr>
        <w:t xml:space="preserve">. Il composto 30 [32], rinominato YNT-185 [33], si è dimostrato in grado di aumentare la durata della veglia e diminuire i </w:t>
      </w:r>
      <w:proofErr w:type="spellStart"/>
      <w:r w:rsidRPr="00275AE3">
        <w:rPr>
          <w:szCs w:val="24"/>
        </w:rPr>
        <w:t>SOREMs</w:t>
      </w:r>
      <w:proofErr w:type="spellEnd"/>
      <w:r w:rsidRPr="00275AE3">
        <w:rPr>
          <w:szCs w:val="24"/>
        </w:rPr>
        <w:t xml:space="preserve"> in topi OX-KO dopo somministrazione intraperitoneale, pur con efficacia limitata. Il composto TAK-925 si è dimostrato in grado di aumentare il tempo speso in veglia dopo iniezione sottocutanea (SC) in topi wild-</w:t>
      </w:r>
      <w:proofErr w:type="spellStart"/>
      <w:r w:rsidRPr="00275AE3">
        <w:rPr>
          <w:szCs w:val="24"/>
        </w:rPr>
        <w:t>type</w:t>
      </w:r>
      <w:proofErr w:type="spellEnd"/>
      <w:r w:rsidRPr="00275AE3">
        <w:rPr>
          <w:szCs w:val="24"/>
        </w:rPr>
        <w:t xml:space="preserve"> (WT) di controllo [34] e ha superato uno studio di fase 1 su pazienti con NT1 con somministrazione per infusione endovenosa [35]. Il composto TAK-988 si è dimostrato biodisponibile per via orale ed in grado di aumentare il tempo speso in veglia e diminuire la cataplessia nei topi OX-ATX3 [36] e di aumentare il tempo speso in veglia in primati non umani [37]. Anche se tutti questi agonisti selettivi dei recettori OR2 hanno il potenziale di contribuire </w:t>
      </w:r>
      <w:r w:rsidRPr="00275AE3">
        <w:rPr>
          <w:szCs w:val="24"/>
        </w:rPr>
        <w:lastRenderedPageBreak/>
        <w:t xml:space="preserve">alla terapia della NT1, le conoscenze sulla fisiologia del sistema </w:t>
      </w:r>
      <w:proofErr w:type="spellStart"/>
      <w:r w:rsidRPr="00275AE3">
        <w:rPr>
          <w:szCs w:val="24"/>
        </w:rPr>
        <w:t>orexinergico</w:t>
      </w:r>
      <w:proofErr w:type="spellEnd"/>
      <w:r w:rsidRPr="00275AE3">
        <w:rPr>
          <w:szCs w:val="24"/>
        </w:rPr>
        <w:t xml:space="preserve"> e sulla fisiopatologia della NT1 indicano che sarebbe necessario reintegrare il legame delle </w:t>
      </w:r>
      <w:proofErr w:type="spellStart"/>
      <w:r w:rsidRPr="00275AE3">
        <w:rPr>
          <w:szCs w:val="24"/>
        </w:rPr>
        <w:t>orexine</w:t>
      </w:r>
      <w:proofErr w:type="spellEnd"/>
      <w:r w:rsidRPr="00275AE3">
        <w:rPr>
          <w:szCs w:val="24"/>
        </w:rPr>
        <w:t xml:space="preserve"> sia ai recettori OR1 sia ai recettori OR2 per risolvere completamente il quadro clinico della NT1. In particolare, è stato dimostrato che la severità della cataplessia è modesta nei topi OR2-KO, in cui il legame delle </w:t>
      </w:r>
      <w:proofErr w:type="spellStart"/>
      <w:r w:rsidRPr="00275AE3">
        <w:rPr>
          <w:szCs w:val="24"/>
        </w:rPr>
        <w:t>orexine</w:t>
      </w:r>
      <w:proofErr w:type="spellEnd"/>
      <w:r w:rsidRPr="00275AE3">
        <w:rPr>
          <w:szCs w:val="24"/>
        </w:rPr>
        <w:t xml:space="preserve"> a OR1 è preservato, mentre è elevata nei topi OX-KO, in cui mancano del tutto le </w:t>
      </w:r>
      <w:proofErr w:type="spellStart"/>
      <w:r w:rsidRPr="00275AE3">
        <w:rPr>
          <w:szCs w:val="24"/>
        </w:rPr>
        <w:t>orexine</w:t>
      </w:r>
      <w:proofErr w:type="spellEnd"/>
      <w:r w:rsidRPr="00275AE3">
        <w:rPr>
          <w:szCs w:val="24"/>
        </w:rPr>
        <w:t>, quindi anche il loro legame sia a OR1 sia a OR2 [24]. In topi doppi KO per OR1 e OR2, l’espressione tramite vettore virale di OR2 nel rafe dorsale si è dimostrato prevenire l’insorgenza di cataplessia, potenzialmente attivando in modo non fisiologico i neuroni serotoninergici di questa struttura, che esprimono fisiologicamente sia OR1 sia OR2, ma non è comunque stata in grado di prevenire l’eccesso di sonno REM durante il periodo di attività (buio) [25]. Dati recenti hanno evidenziato una tendenza all’aterosclerosi in topi OX-KO, dovuta alla mancanza di attivazione di recettori OR1 espressi da precursori emopoietici nel midollo osseo [10]. Non vi è evidenza disponibile sullo sviluppo di agonisti dei recettori OR1 e OR2 in grado di attraversare la B</w:t>
      </w:r>
      <w:r>
        <w:rPr>
          <w:szCs w:val="24"/>
        </w:rPr>
        <w:t>EE</w:t>
      </w:r>
      <w:r w:rsidRPr="00275AE3">
        <w:rPr>
          <w:szCs w:val="24"/>
        </w:rPr>
        <w:t xml:space="preserve"> dopo somministrazione sistemica ed efficaci nella terapia della NT1.</w:t>
      </w:r>
    </w:p>
    <w:p w14:paraId="12021689" w14:textId="77777777" w:rsidR="00630766" w:rsidRDefault="00630766" w:rsidP="00630766">
      <w:pPr>
        <w:spacing w:line="360" w:lineRule="exact"/>
        <w:contextualSpacing/>
        <w:jc w:val="both"/>
        <w:rPr>
          <w:szCs w:val="24"/>
        </w:rPr>
      </w:pPr>
    </w:p>
    <w:p w14:paraId="7527411C" w14:textId="77777777" w:rsidR="00630766" w:rsidRPr="00EC0897" w:rsidRDefault="00630766" w:rsidP="00630766">
      <w:pPr>
        <w:pStyle w:val="NormaleWeb"/>
        <w:spacing w:before="0" w:beforeAutospacing="0" w:after="0" w:afterAutospacing="0" w:line="360" w:lineRule="exact"/>
        <w:rPr>
          <w:b/>
          <w:bCs/>
        </w:rPr>
      </w:pPr>
      <w:r w:rsidRPr="00EC0897">
        <w:rPr>
          <w:b/>
          <w:bCs/>
        </w:rPr>
        <w:t>Obiettivo</w:t>
      </w:r>
      <w:r>
        <w:rPr>
          <w:b/>
          <w:bCs/>
        </w:rPr>
        <w:t xml:space="preserve"> del progetto</w:t>
      </w:r>
    </w:p>
    <w:p w14:paraId="7DF9C9FA" w14:textId="77777777" w:rsidR="00630766" w:rsidRPr="00C81C28" w:rsidRDefault="00630766" w:rsidP="00630766">
      <w:pPr>
        <w:spacing w:line="360" w:lineRule="exact"/>
        <w:contextualSpacing/>
        <w:jc w:val="both"/>
        <w:rPr>
          <w:color w:val="C00000"/>
          <w:szCs w:val="24"/>
        </w:rPr>
      </w:pPr>
      <w:r>
        <w:rPr>
          <w:color w:val="C00000"/>
          <w:szCs w:val="24"/>
        </w:rPr>
        <w:t xml:space="preserve">Proseguire lo sviluppo preclinico di un nuovo agonista dei recettori delle </w:t>
      </w:r>
      <w:proofErr w:type="spellStart"/>
      <w:r>
        <w:rPr>
          <w:color w:val="C00000"/>
          <w:szCs w:val="24"/>
        </w:rPr>
        <w:t>orexine</w:t>
      </w:r>
      <w:proofErr w:type="spellEnd"/>
      <w:r>
        <w:rPr>
          <w:color w:val="C00000"/>
          <w:szCs w:val="24"/>
        </w:rPr>
        <w:t xml:space="preserve"> per la terapia della narcolessia di tipo 1</w:t>
      </w:r>
    </w:p>
    <w:p w14:paraId="72C670EE" w14:textId="77777777" w:rsidR="00630766" w:rsidRDefault="00630766" w:rsidP="00630766">
      <w:pPr>
        <w:pStyle w:val="NormaleWeb"/>
        <w:spacing w:before="0" w:beforeAutospacing="0" w:after="0" w:afterAutospacing="0" w:line="360" w:lineRule="exact"/>
        <w:rPr>
          <w:b/>
          <w:bCs/>
        </w:rPr>
      </w:pPr>
    </w:p>
    <w:p w14:paraId="41E75711" w14:textId="77777777" w:rsidR="00630766" w:rsidRPr="00EC0897" w:rsidRDefault="00630766" w:rsidP="00630766">
      <w:pPr>
        <w:pStyle w:val="NormaleWeb"/>
        <w:spacing w:before="0" w:beforeAutospacing="0" w:after="0" w:afterAutospacing="0" w:line="360" w:lineRule="exact"/>
        <w:rPr>
          <w:b/>
          <w:bCs/>
        </w:rPr>
      </w:pPr>
      <w:r>
        <w:rPr>
          <w:b/>
          <w:bCs/>
        </w:rPr>
        <w:t>Sintesi delle attività del progetto</w:t>
      </w:r>
    </w:p>
    <w:p w14:paraId="630403B6" w14:textId="77777777" w:rsidR="00630766" w:rsidRDefault="00630766" w:rsidP="00630766">
      <w:pPr>
        <w:spacing w:line="360" w:lineRule="exact"/>
        <w:contextualSpacing/>
        <w:jc w:val="both"/>
        <w:rPr>
          <w:b/>
          <w:bCs/>
          <w:color w:val="C00000"/>
          <w:szCs w:val="24"/>
        </w:rPr>
      </w:pPr>
    </w:p>
    <w:p w14:paraId="2C0F4379" w14:textId="77777777" w:rsidR="00630766" w:rsidRDefault="00630766" w:rsidP="00630766">
      <w:pPr>
        <w:spacing w:line="360" w:lineRule="exact"/>
        <w:contextualSpacing/>
        <w:jc w:val="both"/>
        <w:rPr>
          <w:b/>
          <w:bCs/>
          <w:color w:val="C00000"/>
          <w:szCs w:val="24"/>
        </w:rPr>
      </w:pPr>
      <w:r>
        <w:rPr>
          <w:b/>
          <w:bCs/>
          <w:color w:val="C00000"/>
          <w:szCs w:val="24"/>
        </w:rPr>
        <w:t>Molecole oggetto dello studio</w:t>
      </w:r>
    </w:p>
    <w:p w14:paraId="609C3114" w14:textId="77777777" w:rsidR="00630766" w:rsidRDefault="00630766" w:rsidP="00630766">
      <w:pPr>
        <w:spacing w:line="360" w:lineRule="exact"/>
        <w:contextualSpacing/>
        <w:jc w:val="both"/>
        <w:rPr>
          <w:szCs w:val="24"/>
        </w:rPr>
      </w:pPr>
      <w:r>
        <w:rPr>
          <w:szCs w:val="24"/>
        </w:rPr>
        <w:t xml:space="preserve">Il progetto verterà sullo sviluppo di una molecola attualmente in fase di deposito brevettuale da parte dell’Università di Bologna, della quale il proponente di questo progetto rappresenta il principale inventore. Nell’incertezza che questo documento costituisca divulgazione e possa compromettere le procedure brevettuali a danno dell’Università di Bologna, la molecola viene di seguito semplicemente identificata come ARO (agonista dei recettori per le </w:t>
      </w:r>
      <w:proofErr w:type="spellStart"/>
      <w:r>
        <w:rPr>
          <w:szCs w:val="24"/>
        </w:rPr>
        <w:t>orexine</w:t>
      </w:r>
      <w:proofErr w:type="spellEnd"/>
      <w:r>
        <w:rPr>
          <w:szCs w:val="24"/>
        </w:rPr>
        <w:t xml:space="preserve">). Il proponente di questo progetto è a disposizione dei revisori di questa proposta progettuale per condividere in modo riservato se necessario i dettagli sulla struttura chimica di ARO. ARO è stata disegnata per attraversare la BEE ed agire sul SNC dopo somministrazione periferica come doppio agonista dei recettori OR1 e OR2 per le </w:t>
      </w:r>
      <w:proofErr w:type="spellStart"/>
      <w:r>
        <w:rPr>
          <w:szCs w:val="24"/>
        </w:rPr>
        <w:t>orexine</w:t>
      </w:r>
      <w:proofErr w:type="spellEnd"/>
      <w:r>
        <w:rPr>
          <w:szCs w:val="24"/>
        </w:rPr>
        <w:t xml:space="preserve">. ARO è stata sintetizzata su indicazione del proponente del progetto dalla ditta </w:t>
      </w:r>
      <w:proofErr w:type="spellStart"/>
      <w:r>
        <w:rPr>
          <w:szCs w:val="24"/>
        </w:rPr>
        <w:t>Genscript</w:t>
      </w:r>
      <w:proofErr w:type="spellEnd"/>
      <w:r>
        <w:rPr>
          <w:szCs w:val="24"/>
        </w:rPr>
        <w:t xml:space="preserve"> (</w:t>
      </w:r>
      <w:hyperlink r:id="rId8" w:history="1">
        <w:r w:rsidRPr="009420E5">
          <w:rPr>
            <w:rStyle w:val="Collegamentoipertestuale"/>
            <w:szCs w:val="24"/>
          </w:rPr>
          <w:t>www.genscript.com</w:t>
        </w:r>
      </w:hyperlink>
      <w:r>
        <w:rPr>
          <w:szCs w:val="24"/>
        </w:rPr>
        <w:t xml:space="preserve">) in forma liofilizzata con purezza </w:t>
      </w:r>
      <w:r w:rsidRPr="007813D6">
        <w:rPr>
          <w:szCs w:val="24"/>
        </w:rPr>
        <w:t>HPLC ≥ 95%</w:t>
      </w:r>
      <w:r>
        <w:rPr>
          <w:szCs w:val="24"/>
        </w:rPr>
        <w:t>.</w:t>
      </w:r>
    </w:p>
    <w:p w14:paraId="6313A7FA" w14:textId="34E908C3" w:rsidR="00630766" w:rsidRDefault="00630766" w:rsidP="00630766">
      <w:pPr>
        <w:spacing w:line="360" w:lineRule="exact"/>
        <w:contextualSpacing/>
        <w:jc w:val="both"/>
        <w:rPr>
          <w:b/>
          <w:bCs/>
          <w:color w:val="C00000"/>
          <w:szCs w:val="24"/>
        </w:rPr>
      </w:pPr>
    </w:p>
    <w:p w14:paraId="6B01F222" w14:textId="44B305A0" w:rsidR="00D921AB" w:rsidRDefault="00D921AB" w:rsidP="00630766">
      <w:pPr>
        <w:spacing w:line="360" w:lineRule="exact"/>
        <w:contextualSpacing/>
        <w:jc w:val="both"/>
        <w:rPr>
          <w:b/>
          <w:bCs/>
          <w:color w:val="C00000"/>
          <w:szCs w:val="24"/>
        </w:rPr>
      </w:pPr>
    </w:p>
    <w:p w14:paraId="22EBADF5" w14:textId="77777777" w:rsidR="00D921AB" w:rsidRDefault="00D921AB" w:rsidP="00630766">
      <w:pPr>
        <w:spacing w:line="360" w:lineRule="exact"/>
        <w:contextualSpacing/>
        <w:jc w:val="both"/>
        <w:rPr>
          <w:b/>
          <w:bCs/>
          <w:color w:val="C00000"/>
          <w:szCs w:val="24"/>
        </w:rPr>
      </w:pPr>
    </w:p>
    <w:p w14:paraId="04200840" w14:textId="77777777" w:rsidR="00630766" w:rsidRDefault="00630766" w:rsidP="00630766">
      <w:pPr>
        <w:spacing w:line="360" w:lineRule="exact"/>
        <w:contextualSpacing/>
        <w:jc w:val="both"/>
        <w:rPr>
          <w:b/>
          <w:bCs/>
          <w:color w:val="C00000"/>
          <w:szCs w:val="24"/>
        </w:rPr>
      </w:pPr>
      <w:r w:rsidRPr="008354A7">
        <w:rPr>
          <w:b/>
          <w:bCs/>
          <w:color w:val="C00000"/>
          <w:szCs w:val="24"/>
        </w:rPr>
        <w:lastRenderedPageBreak/>
        <w:t xml:space="preserve">Esperimenti </w:t>
      </w:r>
      <w:r>
        <w:rPr>
          <w:b/>
          <w:bCs/>
          <w:color w:val="C00000"/>
          <w:szCs w:val="24"/>
        </w:rPr>
        <w:t>in</w:t>
      </w:r>
      <w:r w:rsidRPr="008354A7">
        <w:rPr>
          <w:b/>
          <w:bCs/>
          <w:color w:val="C00000"/>
          <w:szCs w:val="24"/>
        </w:rPr>
        <w:t xml:space="preserve"> vivo</w:t>
      </w:r>
    </w:p>
    <w:p w14:paraId="5BE93E57" w14:textId="77777777" w:rsidR="00630766" w:rsidRDefault="00630766" w:rsidP="00630766">
      <w:pPr>
        <w:spacing w:line="360" w:lineRule="exact"/>
        <w:contextualSpacing/>
        <w:jc w:val="both"/>
        <w:rPr>
          <w:szCs w:val="24"/>
        </w:rPr>
      </w:pPr>
      <w:r w:rsidRPr="00353454">
        <w:rPr>
          <w:szCs w:val="24"/>
        </w:rPr>
        <w:tab/>
      </w:r>
      <w:r w:rsidRPr="00353454">
        <w:rPr>
          <w:szCs w:val="24"/>
        </w:rPr>
        <w:tab/>
      </w:r>
    </w:p>
    <w:p w14:paraId="1E096733" w14:textId="77777777" w:rsidR="00630766" w:rsidRDefault="00630766" w:rsidP="00630766">
      <w:pPr>
        <w:spacing w:line="360" w:lineRule="exact"/>
        <w:contextualSpacing/>
        <w:jc w:val="both"/>
        <w:rPr>
          <w:szCs w:val="24"/>
        </w:rPr>
      </w:pPr>
      <w:r w:rsidRPr="00C5234A">
        <w:rPr>
          <w:color w:val="C00000"/>
          <w:szCs w:val="24"/>
          <w:u w:val="single"/>
        </w:rPr>
        <w:t>Obiettivo.</w:t>
      </w:r>
      <w:r>
        <w:rPr>
          <w:szCs w:val="24"/>
        </w:rPr>
        <w:t xml:space="preserve"> Gli esperimenti in vivo hanno l’obiettivo di produrre dati pilota sull’efficacia comparativa di ARO nel sopprimere la cataplessia in un modello murino validato di NT1, i topi OX-KO [23], in funzione della fase circadiana di somministrazione. </w:t>
      </w:r>
    </w:p>
    <w:p w14:paraId="69C8CFF7" w14:textId="77777777" w:rsidR="00630766" w:rsidRDefault="00630766" w:rsidP="00630766">
      <w:pPr>
        <w:spacing w:line="360" w:lineRule="exact"/>
        <w:contextualSpacing/>
        <w:jc w:val="both"/>
        <w:rPr>
          <w:color w:val="C00000"/>
          <w:szCs w:val="24"/>
          <w:u w:val="single"/>
        </w:rPr>
      </w:pPr>
    </w:p>
    <w:p w14:paraId="57DF18A9" w14:textId="77777777" w:rsidR="00630766" w:rsidRDefault="00630766" w:rsidP="00630766">
      <w:pPr>
        <w:spacing w:line="360" w:lineRule="exact"/>
        <w:contextualSpacing/>
        <w:jc w:val="both"/>
        <w:rPr>
          <w:szCs w:val="24"/>
        </w:rPr>
      </w:pPr>
      <w:r w:rsidRPr="00C5234A">
        <w:rPr>
          <w:color w:val="C00000"/>
          <w:szCs w:val="24"/>
          <w:u w:val="single"/>
        </w:rPr>
        <w:t>Risultati preliminari.</w:t>
      </w:r>
      <w:r>
        <w:rPr>
          <w:szCs w:val="24"/>
        </w:rPr>
        <w:t xml:space="preserve"> I risultati preliminari ottenuti a supporto della domanda di deposito brevettuale di ARO attualmente in corso hanno dimostrato che la somministrazione sottocutanea di ARO (160 </w:t>
      </w:r>
      <w:proofErr w:type="spellStart"/>
      <w:r>
        <w:rPr>
          <w:szCs w:val="24"/>
        </w:rPr>
        <w:t>μM</w:t>
      </w:r>
      <w:proofErr w:type="spellEnd"/>
      <w:r>
        <w:rPr>
          <w:szCs w:val="24"/>
        </w:rPr>
        <w:t xml:space="preserve"> in 1 </w:t>
      </w:r>
      <w:proofErr w:type="spellStart"/>
      <w:r>
        <w:rPr>
          <w:szCs w:val="24"/>
        </w:rPr>
        <w:t>mL</w:t>
      </w:r>
      <w:proofErr w:type="spellEnd"/>
      <w:r>
        <w:rPr>
          <w:szCs w:val="24"/>
        </w:rPr>
        <w:t xml:space="preserve"> di soluzione fisiologica) all’accensione delle luci (</w:t>
      </w:r>
      <w:proofErr w:type="spellStart"/>
      <w:r>
        <w:rPr>
          <w:szCs w:val="24"/>
        </w:rPr>
        <w:t>Zeitgeber</w:t>
      </w:r>
      <w:proofErr w:type="spellEnd"/>
      <w:r>
        <w:rPr>
          <w:szCs w:val="24"/>
        </w:rPr>
        <w:t xml:space="preserve"> time 0, ZT0) riduceva significativamente il tempo trascorso in stati simil-cataplettici (</w:t>
      </w:r>
      <w:proofErr w:type="spellStart"/>
      <w:r>
        <w:rPr>
          <w:szCs w:val="24"/>
        </w:rPr>
        <w:t>cataplexy</w:t>
      </w:r>
      <w:proofErr w:type="spellEnd"/>
      <w:r>
        <w:rPr>
          <w:szCs w:val="24"/>
        </w:rPr>
        <w:t xml:space="preserve">-like </w:t>
      </w:r>
      <w:proofErr w:type="spellStart"/>
      <w:r>
        <w:rPr>
          <w:szCs w:val="24"/>
        </w:rPr>
        <w:t>states</w:t>
      </w:r>
      <w:proofErr w:type="spellEnd"/>
      <w:r>
        <w:rPr>
          <w:szCs w:val="24"/>
        </w:rPr>
        <w:t>) [38] durante il periodo di attività (buio: ZT 13-24) in topi OX-KO femmina rispetto alla somministrazione di veicolo (</w:t>
      </w:r>
      <w:r w:rsidRPr="001A36E1">
        <w:rPr>
          <w:szCs w:val="24"/>
        </w:rPr>
        <w:t xml:space="preserve">P &lt; 0.05, test di </w:t>
      </w:r>
      <w:proofErr w:type="spellStart"/>
      <w:r w:rsidRPr="001A36E1">
        <w:rPr>
          <w:szCs w:val="24"/>
        </w:rPr>
        <w:t>Wilcoxon</w:t>
      </w:r>
      <w:proofErr w:type="spellEnd"/>
      <w:r w:rsidRPr="001A36E1">
        <w:rPr>
          <w:szCs w:val="24"/>
        </w:rPr>
        <w:t xml:space="preserve"> a due code con significatività esatta </w:t>
      </w:r>
      <w:r>
        <w:rPr>
          <w:szCs w:val="24"/>
        </w:rPr>
        <w:t xml:space="preserve">con </w:t>
      </w:r>
      <w:r w:rsidRPr="001A36E1">
        <w:rPr>
          <w:szCs w:val="24"/>
        </w:rPr>
        <w:t>metodo Monte Carlo</w:t>
      </w:r>
      <w:r>
        <w:rPr>
          <w:szCs w:val="24"/>
        </w:rPr>
        <w:t>, N = 12</w:t>
      </w:r>
      <w:r w:rsidRPr="001A36E1">
        <w:rPr>
          <w:szCs w:val="24"/>
        </w:rPr>
        <w:t>)</w:t>
      </w:r>
      <w:r>
        <w:rPr>
          <w:szCs w:val="24"/>
        </w:rPr>
        <w:t>. Lo stato simil-cataplettico (</w:t>
      </w:r>
      <w:proofErr w:type="spellStart"/>
      <w:r>
        <w:rPr>
          <w:szCs w:val="24"/>
        </w:rPr>
        <w:t>cataplexy</w:t>
      </w:r>
      <w:proofErr w:type="spellEnd"/>
      <w:r>
        <w:rPr>
          <w:szCs w:val="24"/>
        </w:rPr>
        <w:t>-like state) nel modello murino di narcolessia è definito unicamente in base ai segnali elettroencefalografici (EEG) ed elettromiografici (EMG) in accordo con criteri definiti per consenso tra esperti; in caso di reperto video simultaneo di arresto motorio improvviso lo stato simil-cataplettico può essere confermato come cataplettico [38]. Il risultato preliminare ottenuto è stato confermato in base all’analisi delle videoregistrazioni con illuminazione agli infrarossi e telecamera sensibile agli infrarossi in un sottogruppo di topi (N = 4). Ciò è in accordo con evidenza di una completa sovrapposizione fra episodi simil-cataplettici ed episodi cataplettici durante il periodo di buio in un modello murino di NT1 [39].</w:t>
      </w:r>
    </w:p>
    <w:p w14:paraId="24C1F4BF" w14:textId="77777777" w:rsidR="00630766" w:rsidRDefault="00630766" w:rsidP="00630766">
      <w:pPr>
        <w:spacing w:line="360" w:lineRule="exact"/>
        <w:contextualSpacing/>
        <w:jc w:val="both"/>
        <w:rPr>
          <w:szCs w:val="24"/>
        </w:rPr>
      </w:pPr>
    </w:p>
    <w:p w14:paraId="3FD705B3" w14:textId="77777777" w:rsidR="00630766" w:rsidRDefault="00630766" w:rsidP="00630766">
      <w:pPr>
        <w:spacing w:line="360" w:lineRule="exact"/>
        <w:ind w:firstLine="708"/>
        <w:contextualSpacing/>
        <w:jc w:val="both"/>
        <w:rPr>
          <w:szCs w:val="24"/>
        </w:rPr>
      </w:pPr>
      <w:r>
        <w:rPr>
          <w:color w:val="C00000"/>
          <w:szCs w:val="24"/>
          <w:u w:val="single"/>
        </w:rPr>
        <w:t>Sintesi delle procedure sperimentali</w:t>
      </w:r>
      <w:r w:rsidRPr="00C5234A">
        <w:rPr>
          <w:color w:val="C00000"/>
          <w:szCs w:val="24"/>
          <w:u w:val="single"/>
        </w:rPr>
        <w:t>.</w:t>
      </w:r>
      <w:r w:rsidRPr="00B246F2">
        <w:rPr>
          <w:color w:val="C00000"/>
          <w:szCs w:val="24"/>
        </w:rPr>
        <w:t xml:space="preserve"> </w:t>
      </w:r>
      <w:r w:rsidRPr="001E35B2">
        <w:rPr>
          <w:szCs w:val="24"/>
        </w:rPr>
        <w:t xml:space="preserve">Gli esperimenti saranno compiuti su topi </w:t>
      </w:r>
      <w:r>
        <w:rPr>
          <w:szCs w:val="24"/>
        </w:rPr>
        <w:t xml:space="preserve">OX-KO [23], un modello validato di NT1 con deficienza congenita delle </w:t>
      </w:r>
      <w:proofErr w:type="spellStart"/>
      <w:r>
        <w:rPr>
          <w:szCs w:val="24"/>
        </w:rPr>
        <w:t>orexine</w:t>
      </w:r>
      <w:proofErr w:type="spellEnd"/>
      <w:r>
        <w:rPr>
          <w:szCs w:val="24"/>
        </w:rPr>
        <w:t>. I topi saranno ottenuti da una colonia riproduttiva interna già disponibile nello stabulario roditori del DIBINEM e stabulati con ciclo luce buio di 12:12 ore. Si studieranno topi femmina per confronto con i risultati preliminari (si veda sopra) e perché dati recenti indicano che l’incidenza spontanea basale di episodi cataplettici è maggiore nei topi OX-KO femmine rispetto ai maschi [40]. I t</w:t>
      </w:r>
      <w:r w:rsidRPr="00353454">
        <w:rPr>
          <w:szCs w:val="24"/>
        </w:rPr>
        <w:t>opi</w:t>
      </w:r>
      <w:r>
        <w:rPr>
          <w:szCs w:val="24"/>
        </w:rPr>
        <w:t xml:space="preserve"> </w:t>
      </w:r>
      <w:r w:rsidRPr="00353454">
        <w:rPr>
          <w:szCs w:val="24"/>
        </w:rPr>
        <w:t xml:space="preserve">saranno sottoposti ad intervento chirurgico </w:t>
      </w:r>
      <w:r>
        <w:rPr>
          <w:szCs w:val="24"/>
        </w:rPr>
        <w:t>in anestesia generale (</w:t>
      </w:r>
      <w:proofErr w:type="spellStart"/>
      <w:r>
        <w:rPr>
          <w:szCs w:val="24"/>
        </w:rPr>
        <w:t>isoflurano</w:t>
      </w:r>
      <w:proofErr w:type="spellEnd"/>
      <w:r>
        <w:rPr>
          <w:szCs w:val="24"/>
        </w:rPr>
        <w:t xml:space="preserve"> in ossigeno) con trattamento analgesico per l’impianto di </w:t>
      </w:r>
      <w:proofErr w:type="spellStart"/>
      <w:r w:rsidRPr="00353454">
        <w:rPr>
          <w:szCs w:val="24"/>
        </w:rPr>
        <w:t>minielettrodi</w:t>
      </w:r>
      <w:proofErr w:type="spellEnd"/>
      <w:r w:rsidRPr="00353454">
        <w:rPr>
          <w:szCs w:val="24"/>
        </w:rPr>
        <w:t xml:space="preserve"> </w:t>
      </w:r>
      <w:r>
        <w:rPr>
          <w:szCs w:val="24"/>
        </w:rPr>
        <w:t xml:space="preserve">per </w:t>
      </w:r>
      <w:r w:rsidRPr="00353454">
        <w:rPr>
          <w:szCs w:val="24"/>
        </w:rPr>
        <w:t xml:space="preserve">la registrazione dei segnali </w:t>
      </w:r>
      <w:r>
        <w:rPr>
          <w:szCs w:val="24"/>
        </w:rPr>
        <w:t>EEG</w:t>
      </w:r>
      <w:r w:rsidRPr="00353454">
        <w:rPr>
          <w:szCs w:val="24"/>
        </w:rPr>
        <w:t xml:space="preserve"> e </w:t>
      </w:r>
      <w:r>
        <w:rPr>
          <w:szCs w:val="24"/>
        </w:rPr>
        <w:t>EMG</w:t>
      </w:r>
      <w:r w:rsidRPr="00353454">
        <w:rPr>
          <w:szCs w:val="24"/>
        </w:rPr>
        <w:t xml:space="preserve">, atti a permettere una quantificazione del comportamento di veglia e di sonno, </w:t>
      </w:r>
      <w:r>
        <w:rPr>
          <w:szCs w:val="24"/>
        </w:rPr>
        <w:t xml:space="preserve">come già decritto in dettaglio dal nostro gruppo [41]. Dopo 1-2 settimane di recupero post-operatorio ciascun topo sarà sottoposto a 4 sessioni di registrazione da 24 ore ciascuna in 2 settimane. Le registrazioni interesseranno i segnali EEG e EMG in animali liberi di muoversi grazie all’impiego di connettori elettrici rotanti e di supporti bilanciati per sostenere il peso dei cavi elettrici di connessione fra gli animali e gli amplificatori. Si effettueranno registrazioni video sincronizzate con quelle dei </w:t>
      </w:r>
      <w:proofErr w:type="spellStart"/>
      <w:r>
        <w:rPr>
          <w:szCs w:val="24"/>
        </w:rPr>
        <w:t>biosegnali</w:t>
      </w:r>
      <w:proofErr w:type="spellEnd"/>
      <w:r>
        <w:rPr>
          <w:szCs w:val="24"/>
        </w:rPr>
        <w:t xml:space="preserve"> durante il periodo di buio impiegando una fotocamera </w:t>
      </w:r>
      <w:r>
        <w:rPr>
          <w:szCs w:val="24"/>
        </w:rPr>
        <w:lastRenderedPageBreak/>
        <w:t>ad alta risoluzione sensibile agli infrarossi ed un illuminatore ambientale ad infrarossi. Gli animali avranno accesso a cioccolata oltre alla loro dieta standard durante il periodo di buio per massimizzare l’incidenza di cataplessia [40].</w:t>
      </w:r>
    </w:p>
    <w:p w14:paraId="3702745A" w14:textId="77777777" w:rsidR="00630766" w:rsidRDefault="00630766" w:rsidP="00630766">
      <w:pPr>
        <w:spacing w:line="360" w:lineRule="exact"/>
        <w:ind w:firstLine="708"/>
        <w:contextualSpacing/>
        <w:jc w:val="both"/>
        <w:rPr>
          <w:szCs w:val="24"/>
        </w:rPr>
      </w:pPr>
      <w:r>
        <w:rPr>
          <w:szCs w:val="24"/>
        </w:rPr>
        <w:t xml:space="preserve">In ciascuna settimana, si effettuerà una registrazione con iniezione sottocutanea di 1 </w:t>
      </w:r>
      <w:proofErr w:type="spellStart"/>
      <w:r>
        <w:rPr>
          <w:szCs w:val="24"/>
        </w:rPr>
        <w:t>mL</w:t>
      </w:r>
      <w:proofErr w:type="spellEnd"/>
      <w:r>
        <w:rPr>
          <w:szCs w:val="24"/>
        </w:rPr>
        <w:t xml:space="preserve"> di soluzione fisiologica (veicolo), seguita dopo 48 ore da un’altra registrazione con iniezione sottocutanea di ARO alla concentrazione di 160 </w:t>
      </w:r>
      <w:proofErr w:type="spellStart"/>
      <w:r>
        <w:rPr>
          <w:szCs w:val="24"/>
        </w:rPr>
        <w:t>μM</w:t>
      </w:r>
      <w:proofErr w:type="spellEnd"/>
      <w:r>
        <w:rPr>
          <w:szCs w:val="24"/>
        </w:rPr>
        <w:t xml:space="preserve"> in 1 </w:t>
      </w:r>
      <w:proofErr w:type="spellStart"/>
      <w:r>
        <w:rPr>
          <w:szCs w:val="24"/>
        </w:rPr>
        <w:t>mL</w:t>
      </w:r>
      <w:proofErr w:type="spellEnd"/>
      <w:r>
        <w:rPr>
          <w:szCs w:val="24"/>
        </w:rPr>
        <w:t xml:space="preserve"> di fisiologica. In ciascuna settimana, l’iniezione di veicolo e quella di ARO saranno effettuate allo stesso orario in relazione all’accensione delle luci. In una delle due settimane le iniezioni si effettueranno all’accensione delle luci (ZT0), mentre nell’altra esse si effettueranno 1 ora prima dello spegnimento delle luci (ZT11), per non interferire col normale comportamento durante il periodo di buio. Lo ZT (0 o 11) delle iniezioni durante la prima settimana sarà sorteggiato in modo casuale per ciascun topo. Le registrazioni inizieranno a ZT0 indipendentemente dall’orario di iniezione. In base a recenti dati che il ciclo estrale influenza l’incidenza di cataplessia nei topi OX-KO [40], al termine di ciascuna registrazione si valuterà il ciclo estrale degli animali in base all’osservazione dei genitali esterni (</w:t>
      </w:r>
      <w:hyperlink r:id="rId9" w:history="1">
        <w:r w:rsidRPr="009420E5">
          <w:rPr>
            <w:rStyle w:val="Collegamentoipertestuale"/>
            <w:szCs w:val="24"/>
          </w:rPr>
          <w:t>https://www.jax.org/news-and-insights/jax-blog/2014/september/six-steps-for-setting-up-timed-pregnant-mice)</w:t>
        </w:r>
      </w:hyperlink>
      <w:r>
        <w:rPr>
          <w:szCs w:val="24"/>
        </w:rPr>
        <w:t xml:space="preserve"> e all’analisi citologica del lavaggio vaginale [42].</w:t>
      </w:r>
    </w:p>
    <w:p w14:paraId="74366FBE" w14:textId="77777777" w:rsidR="00630766" w:rsidRDefault="00630766" w:rsidP="00630766">
      <w:pPr>
        <w:spacing w:line="360" w:lineRule="exact"/>
        <w:ind w:firstLine="708"/>
        <w:contextualSpacing/>
        <w:jc w:val="both"/>
        <w:rPr>
          <w:szCs w:val="24"/>
        </w:rPr>
      </w:pPr>
      <w:r>
        <w:rPr>
          <w:szCs w:val="24"/>
        </w:rPr>
        <w:t xml:space="preserve">Gli episodi simil-cataplettici saranno individuati in base a criteri standard in base ai segnali EEG e EMG [38] e confermati come cataplettici in base alla videoregistrazione, avendo cura di anonimizzare i segnali ed i video prima della valutazione per evitare errori sistematici. Il numero, la durata media e la durata complessiva degli episodi cataplettici saranno confrontati tra veicolo e ARO per ciascun tempo di somministrazione (ZT0 o ZT11) e fra le somministrazioni di ARO a ZT0 rispetto a ZT11. Le ipotesi sono che: (a) ARO sia efficace nel ridurre la cataplessia durante il periodo di buio sia quando somministrata a ZT0 (confermando i risultati preliminari), sia quando somministrata a ZT11; e (b) l’efficacia di ARO nel ridurre la cataplessia durante il periodo di buio sia superiore con somministrazione a ZT11 rispetto alla somministrazione a ZT0, per via del minor tempo intercorso per il catabolismo di ARO nella prima condizione.   </w:t>
      </w:r>
    </w:p>
    <w:p w14:paraId="6769BE10" w14:textId="77777777" w:rsidR="00630766" w:rsidRDefault="00630766" w:rsidP="00630766">
      <w:pPr>
        <w:spacing w:line="360" w:lineRule="exact"/>
        <w:ind w:firstLine="708"/>
        <w:contextualSpacing/>
        <w:jc w:val="both"/>
        <w:rPr>
          <w:szCs w:val="24"/>
        </w:rPr>
      </w:pPr>
      <w:r>
        <w:rPr>
          <w:szCs w:val="24"/>
        </w:rPr>
        <w:t xml:space="preserve">Si pianifica una numerosità sperimentale di N = 5 per uno studio pilota che consenta di verificare la fattibilità della strategia di somministrazione a ZT11 rispetto alla comparsa di cataplessia durante il periodo di buio (ciò sarà verificabile in base all’eventuale soppressione della cataplessia notturna per lo stress determinato dall’iniezione di veicolo a ZT11 rispetto a ZT0) e di raccogliere dati preliminari sulla differenza di efficacia di ARO tra ZT11 e ZT0 per definire, tramite analisi di potenza statistica, la numerosità campionaria necessaria per verificare l’ipotesi (b) sopra indicata. </w:t>
      </w:r>
    </w:p>
    <w:p w14:paraId="5EAD5755" w14:textId="77777777" w:rsidR="00630766" w:rsidRDefault="00630766" w:rsidP="00630766">
      <w:pPr>
        <w:spacing w:line="360" w:lineRule="exact"/>
        <w:ind w:firstLine="708"/>
        <w:contextualSpacing/>
        <w:jc w:val="both"/>
        <w:rPr>
          <w:szCs w:val="24"/>
        </w:rPr>
      </w:pPr>
      <w:r>
        <w:rPr>
          <w:szCs w:val="24"/>
        </w:rPr>
        <w:t xml:space="preserve">La fattibilità delle procedure sperimentali in vivo è supportata dalla disponibilità di topi OX-KO da colonia riproduttiva interna e dal fatto che l’approccio sperimentale corrisponde a </w:t>
      </w:r>
      <w:r>
        <w:rPr>
          <w:szCs w:val="24"/>
        </w:rPr>
        <w:lastRenderedPageBreak/>
        <w:t xml:space="preserve">quello già impiegato dal nostro gruppo di ricerca in pubblicazioni precedenti [41] e nella raccolta dei dati preliminari sopra menzionati. Il proponente di questo progetto ha inoltre già ottenuto l’autorizzazione etica a svolgere gli esperimenti in vivo con l’impiego di OXA e ARO (progetto “Caratterizzazione dettagliata dell’attività in vivo nel topo (Mus </w:t>
      </w:r>
      <w:proofErr w:type="spellStart"/>
      <w:r>
        <w:rPr>
          <w:szCs w:val="24"/>
        </w:rPr>
        <w:t>musculus</w:t>
      </w:r>
      <w:proofErr w:type="spellEnd"/>
      <w:r>
        <w:rPr>
          <w:szCs w:val="24"/>
        </w:rPr>
        <w:t xml:space="preserve">) di agenti </w:t>
      </w:r>
      <w:proofErr w:type="spellStart"/>
      <w:r>
        <w:rPr>
          <w:szCs w:val="24"/>
        </w:rPr>
        <w:t>orexinergici</w:t>
      </w:r>
      <w:proofErr w:type="spellEnd"/>
      <w:r>
        <w:rPr>
          <w:szCs w:val="24"/>
        </w:rPr>
        <w:t xml:space="preserve"> innovativi per la terapia della narcolessia di tipo 1”, aut. N. 667/2019/PR, scadenza 23 settembre 2023). </w:t>
      </w:r>
    </w:p>
    <w:p w14:paraId="3AFC4AD2" w14:textId="77777777" w:rsidR="00630766" w:rsidRDefault="00630766" w:rsidP="00630766">
      <w:pPr>
        <w:spacing w:line="360" w:lineRule="exact"/>
        <w:ind w:firstLine="708"/>
        <w:contextualSpacing/>
        <w:jc w:val="both"/>
        <w:rPr>
          <w:szCs w:val="24"/>
        </w:rPr>
      </w:pPr>
    </w:p>
    <w:p w14:paraId="7BCF2630" w14:textId="77777777" w:rsidR="00630766" w:rsidRDefault="00630766" w:rsidP="00630766">
      <w:pPr>
        <w:spacing w:line="360" w:lineRule="exact"/>
        <w:contextualSpacing/>
        <w:jc w:val="both"/>
        <w:rPr>
          <w:b/>
          <w:bCs/>
          <w:color w:val="C00000"/>
          <w:szCs w:val="24"/>
        </w:rPr>
      </w:pPr>
      <w:r w:rsidRPr="008354A7">
        <w:rPr>
          <w:b/>
          <w:bCs/>
          <w:color w:val="C00000"/>
          <w:szCs w:val="24"/>
        </w:rPr>
        <w:t xml:space="preserve">Esperimenti </w:t>
      </w:r>
      <w:r>
        <w:rPr>
          <w:b/>
          <w:bCs/>
          <w:color w:val="C00000"/>
          <w:szCs w:val="24"/>
        </w:rPr>
        <w:t>in</w:t>
      </w:r>
      <w:r w:rsidRPr="008354A7">
        <w:rPr>
          <w:b/>
          <w:bCs/>
          <w:color w:val="C00000"/>
          <w:szCs w:val="24"/>
        </w:rPr>
        <w:t xml:space="preserve"> vi</w:t>
      </w:r>
      <w:r>
        <w:rPr>
          <w:b/>
          <w:bCs/>
          <w:color w:val="C00000"/>
          <w:szCs w:val="24"/>
        </w:rPr>
        <w:t>tro</w:t>
      </w:r>
    </w:p>
    <w:p w14:paraId="54F8FFB7" w14:textId="77777777" w:rsidR="00630766" w:rsidRDefault="00630766" w:rsidP="00630766">
      <w:pPr>
        <w:spacing w:line="360" w:lineRule="exact"/>
        <w:contextualSpacing/>
        <w:jc w:val="both"/>
        <w:rPr>
          <w:szCs w:val="24"/>
        </w:rPr>
      </w:pPr>
      <w:r w:rsidRPr="00353454">
        <w:rPr>
          <w:szCs w:val="24"/>
        </w:rPr>
        <w:tab/>
      </w:r>
      <w:r w:rsidRPr="00353454">
        <w:rPr>
          <w:szCs w:val="24"/>
        </w:rPr>
        <w:tab/>
      </w:r>
    </w:p>
    <w:p w14:paraId="6F76E81E" w14:textId="77777777" w:rsidR="00630766" w:rsidRDefault="00630766" w:rsidP="00630766">
      <w:pPr>
        <w:spacing w:line="360" w:lineRule="exact"/>
        <w:contextualSpacing/>
        <w:jc w:val="both"/>
        <w:rPr>
          <w:szCs w:val="24"/>
        </w:rPr>
      </w:pPr>
      <w:r w:rsidRPr="00C5234A">
        <w:rPr>
          <w:color w:val="C00000"/>
          <w:szCs w:val="24"/>
          <w:u w:val="single"/>
        </w:rPr>
        <w:t>Obiettivo.</w:t>
      </w:r>
      <w:r>
        <w:rPr>
          <w:szCs w:val="24"/>
        </w:rPr>
        <w:t xml:space="preserve"> Gli esperimenti in vitro hanno l’obiettivo di quantificare il profilo di attività di ARO sui recettori OR1 e OR2 in diversi sistemi di espressione cellulare. </w:t>
      </w:r>
    </w:p>
    <w:p w14:paraId="3FB3C288" w14:textId="77777777" w:rsidR="00630766" w:rsidRDefault="00630766" w:rsidP="00630766">
      <w:pPr>
        <w:spacing w:line="360" w:lineRule="exact"/>
        <w:contextualSpacing/>
        <w:jc w:val="both"/>
        <w:rPr>
          <w:color w:val="C00000"/>
          <w:szCs w:val="24"/>
          <w:u w:val="single"/>
        </w:rPr>
      </w:pPr>
    </w:p>
    <w:p w14:paraId="6E3AAA27" w14:textId="77777777" w:rsidR="00630766" w:rsidRDefault="00630766" w:rsidP="00630766">
      <w:pPr>
        <w:spacing w:line="360" w:lineRule="exact"/>
        <w:contextualSpacing/>
        <w:jc w:val="both"/>
        <w:rPr>
          <w:szCs w:val="24"/>
        </w:rPr>
      </w:pPr>
      <w:r w:rsidRPr="00C5234A">
        <w:rPr>
          <w:color w:val="C00000"/>
          <w:szCs w:val="24"/>
          <w:u w:val="single"/>
        </w:rPr>
        <w:t>Risultati preliminari.</w:t>
      </w:r>
      <w:r>
        <w:rPr>
          <w:szCs w:val="24"/>
        </w:rPr>
        <w:t xml:space="preserve"> I risultati preliminari ottenuti a supporto della domanda di deposito brevettuale di ARO attualmente in corso hanno dimostrato che ARO a concentrazione 8,5 </w:t>
      </w:r>
      <w:proofErr w:type="spellStart"/>
      <w:r>
        <w:rPr>
          <w:szCs w:val="24"/>
        </w:rPr>
        <w:t>μM</w:t>
      </w:r>
      <w:proofErr w:type="spellEnd"/>
      <w:r>
        <w:rPr>
          <w:szCs w:val="24"/>
        </w:rPr>
        <w:t xml:space="preserve"> causava un aumento della concentrazione intracellulare di ioni calcio prossimo a quello massimale, evocato da OXA alla concentrazione 14,8 </w:t>
      </w:r>
      <w:proofErr w:type="spellStart"/>
      <w:r>
        <w:rPr>
          <w:szCs w:val="24"/>
        </w:rPr>
        <w:t>μM</w:t>
      </w:r>
      <w:proofErr w:type="spellEnd"/>
      <w:r>
        <w:rPr>
          <w:szCs w:val="24"/>
        </w:rPr>
        <w:t xml:space="preserve">, in cellule di neuroblastoma murino </w:t>
      </w:r>
      <w:proofErr w:type="spellStart"/>
      <w:r>
        <w:rPr>
          <w:szCs w:val="24"/>
        </w:rPr>
        <w:t>trasfettate</w:t>
      </w:r>
      <w:proofErr w:type="spellEnd"/>
      <w:r>
        <w:rPr>
          <w:szCs w:val="24"/>
        </w:rPr>
        <w:t xml:space="preserve"> per esprimere stabilmente recettori umani OR1 o OR2 [43], mentre non causava alcun effetto significativo in cellule di controllo che non esprimevano recettori OR1 o OR2. I cloni cellulari in parola sono stati ottenuti tramite donazione dal prof. J. </w:t>
      </w:r>
      <w:proofErr w:type="spellStart"/>
      <w:r>
        <w:rPr>
          <w:szCs w:val="24"/>
        </w:rPr>
        <w:t>Kukkonen</w:t>
      </w:r>
      <w:proofErr w:type="spellEnd"/>
      <w:r>
        <w:rPr>
          <w:szCs w:val="24"/>
        </w:rPr>
        <w:t xml:space="preserve">, Università di Helsinki, e l’effettiva espressione selettiva dei recettori OR1 o OR2 (o l’assenza di espressione di entrambi i recettori OR1 e OR2 nelle cellule di controllo) sono stati verificati tramite trattamento con </w:t>
      </w:r>
      <w:proofErr w:type="spellStart"/>
      <w:r>
        <w:rPr>
          <w:szCs w:val="24"/>
        </w:rPr>
        <w:t>DNAsi</w:t>
      </w:r>
      <w:proofErr w:type="spellEnd"/>
      <w:r>
        <w:rPr>
          <w:szCs w:val="24"/>
        </w:rPr>
        <w:t xml:space="preserve">, </w:t>
      </w:r>
      <w:proofErr w:type="spellStart"/>
      <w:r>
        <w:rPr>
          <w:szCs w:val="24"/>
        </w:rPr>
        <w:t>retrotrascrizione</w:t>
      </w:r>
      <w:proofErr w:type="spellEnd"/>
      <w:r>
        <w:rPr>
          <w:szCs w:val="24"/>
        </w:rPr>
        <w:t xml:space="preserve"> e PCR real-time. Tuttavia, i dati ottenuti non hanno ancora permesso di calcolare la concentrazione di ARO che evoca una risposta semi-massimale (EC50) tramite OR1 e tramite OR2. Vi è inoltre evidenza che il profilo di selettività recettoriale degli agonisti </w:t>
      </w:r>
      <w:proofErr w:type="spellStart"/>
      <w:r>
        <w:rPr>
          <w:szCs w:val="24"/>
        </w:rPr>
        <w:t>orexinergici</w:t>
      </w:r>
      <w:proofErr w:type="spellEnd"/>
      <w:r>
        <w:rPr>
          <w:szCs w:val="24"/>
        </w:rPr>
        <w:t xml:space="preserve"> dipenda dal sistema cellulare di espressione dei recettori [44].</w:t>
      </w:r>
    </w:p>
    <w:p w14:paraId="5B9E96B3" w14:textId="77777777" w:rsidR="00630766" w:rsidRDefault="00630766" w:rsidP="00630766">
      <w:pPr>
        <w:spacing w:line="360" w:lineRule="exact"/>
        <w:contextualSpacing/>
        <w:jc w:val="both"/>
        <w:rPr>
          <w:szCs w:val="24"/>
        </w:rPr>
      </w:pPr>
    </w:p>
    <w:p w14:paraId="6E0826AB" w14:textId="77777777" w:rsidR="00630766" w:rsidRDefault="00630766" w:rsidP="00630766">
      <w:pPr>
        <w:spacing w:line="360" w:lineRule="exact"/>
        <w:contextualSpacing/>
        <w:jc w:val="both"/>
        <w:rPr>
          <w:szCs w:val="24"/>
        </w:rPr>
      </w:pPr>
      <w:r>
        <w:rPr>
          <w:color w:val="C00000"/>
          <w:szCs w:val="24"/>
          <w:u w:val="single"/>
        </w:rPr>
        <w:t>Sintesi delle procedure sperimentali</w:t>
      </w:r>
      <w:r w:rsidRPr="00C5234A">
        <w:rPr>
          <w:color w:val="C00000"/>
          <w:szCs w:val="24"/>
          <w:u w:val="single"/>
        </w:rPr>
        <w:t>.</w:t>
      </w:r>
      <w:r w:rsidRPr="006E7194">
        <w:rPr>
          <w:color w:val="C00000"/>
          <w:szCs w:val="24"/>
        </w:rPr>
        <w:t xml:space="preserve"> </w:t>
      </w:r>
      <w:r>
        <w:rPr>
          <w:szCs w:val="24"/>
        </w:rPr>
        <w:t xml:space="preserve">Si seguiranno due approcci sperimentali indipendenti per determinare la concentrazione di ARO che evoca una risposta semi-massimale (EC50) tramite OR1 e tramite OR2. </w:t>
      </w:r>
    </w:p>
    <w:p w14:paraId="49C05F90" w14:textId="77777777" w:rsidR="00630766" w:rsidRDefault="00630766" w:rsidP="00630766">
      <w:pPr>
        <w:spacing w:line="360" w:lineRule="exact"/>
        <w:ind w:firstLine="708"/>
        <w:contextualSpacing/>
        <w:jc w:val="both"/>
        <w:rPr>
          <w:szCs w:val="24"/>
        </w:rPr>
      </w:pPr>
      <w:r>
        <w:rPr>
          <w:szCs w:val="24"/>
        </w:rPr>
        <w:t xml:space="preserve">Il primo approccio espanderà quello impiegato per ottenere i risultati preliminari sopra menzionati. Si utilizzeranno cellule Neuro2A di neuroblastoma murino </w:t>
      </w:r>
      <w:proofErr w:type="spellStart"/>
      <w:r>
        <w:rPr>
          <w:szCs w:val="24"/>
        </w:rPr>
        <w:t>transfettate</w:t>
      </w:r>
      <w:proofErr w:type="spellEnd"/>
      <w:r>
        <w:rPr>
          <w:szCs w:val="24"/>
        </w:rPr>
        <w:t xml:space="preserve"> per esprimere stabilmente i recettori umani OR1 o OR2 per le </w:t>
      </w:r>
      <w:proofErr w:type="spellStart"/>
      <w:r>
        <w:rPr>
          <w:szCs w:val="24"/>
        </w:rPr>
        <w:t>orexine</w:t>
      </w:r>
      <w:proofErr w:type="spellEnd"/>
      <w:r>
        <w:rPr>
          <w:szCs w:val="24"/>
        </w:rPr>
        <w:t xml:space="preserve"> ed un clone di cellule di neuroblastoma di controllo che non esprime né OR1 né OR2 [43]. Gli aumenti della concentrazione intracellulare di ioni calcio evocati da diverse concentrazioni di ARO e di OXA saranno misurati tramite reattivo Invitrogen Fluo-4 Direct </w:t>
      </w:r>
      <w:proofErr w:type="spellStart"/>
      <w:r>
        <w:rPr>
          <w:szCs w:val="24"/>
        </w:rPr>
        <w:t>Calcium</w:t>
      </w:r>
      <w:proofErr w:type="spellEnd"/>
      <w:r>
        <w:rPr>
          <w:szCs w:val="24"/>
        </w:rPr>
        <w:t xml:space="preserve"> </w:t>
      </w:r>
      <w:proofErr w:type="spellStart"/>
      <w:r>
        <w:rPr>
          <w:szCs w:val="24"/>
        </w:rPr>
        <w:t>Assay</w:t>
      </w:r>
      <w:proofErr w:type="spellEnd"/>
      <w:r>
        <w:rPr>
          <w:szCs w:val="24"/>
        </w:rPr>
        <w:t xml:space="preserve"> e dispositivo </w:t>
      </w:r>
      <w:proofErr w:type="spellStart"/>
      <w:r>
        <w:rPr>
          <w:szCs w:val="24"/>
        </w:rPr>
        <w:t>Tekan</w:t>
      </w:r>
      <w:proofErr w:type="spellEnd"/>
      <w:r>
        <w:rPr>
          <w:szCs w:val="24"/>
        </w:rPr>
        <w:t xml:space="preserve"> Spark presso il Centro di Ricerca Biomedica Applicata (CRBA) al Policlinico S. Orsola-</w:t>
      </w:r>
      <w:r>
        <w:rPr>
          <w:szCs w:val="24"/>
        </w:rPr>
        <w:lastRenderedPageBreak/>
        <w:t>Malpighi. I risultati saranno analizzati tramite interpolazione con una funzione sigmoidale per ottenere le stime di EC50 di ARO per OR1 e OR2 e confrontarle con quelle di OXA, in base a dati almeno in triplicato.</w:t>
      </w:r>
    </w:p>
    <w:p w14:paraId="741EF173" w14:textId="77777777" w:rsidR="00630766" w:rsidRDefault="00630766" w:rsidP="00630766">
      <w:pPr>
        <w:spacing w:line="360" w:lineRule="exact"/>
        <w:contextualSpacing/>
        <w:jc w:val="both"/>
        <w:rPr>
          <w:szCs w:val="24"/>
        </w:rPr>
      </w:pPr>
      <w:r>
        <w:rPr>
          <w:szCs w:val="24"/>
        </w:rPr>
        <w:tab/>
      </w:r>
      <w:r w:rsidRPr="003E7D19">
        <w:rPr>
          <w:szCs w:val="24"/>
        </w:rPr>
        <w:t xml:space="preserve">Nel secondo approccio gli esperimenti saranno effettuati con specifici reporter </w:t>
      </w:r>
      <w:proofErr w:type="spellStart"/>
      <w:r w:rsidRPr="003E7D19">
        <w:rPr>
          <w:szCs w:val="24"/>
        </w:rPr>
        <w:t>assay</w:t>
      </w:r>
      <w:proofErr w:type="spellEnd"/>
      <w:r w:rsidRPr="003E7D19">
        <w:rPr>
          <w:szCs w:val="24"/>
        </w:rPr>
        <w:t xml:space="preserve"> kit per OR1 e OR2 (items 600240 and 600250, Cayman </w:t>
      </w:r>
      <w:proofErr w:type="spellStart"/>
      <w:r w:rsidRPr="003E7D19">
        <w:rPr>
          <w:szCs w:val="24"/>
        </w:rPr>
        <w:t>chemical</w:t>
      </w:r>
      <w:proofErr w:type="spellEnd"/>
      <w:r w:rsidRPr="003E7D19">
        <w:rPr>
          <w:szCs w:val="24"/>
        </w:rPr>
        <w:t xml:space="preserve">, www.caymanchem.com) basati su cellule Human </w:t>
      </w:r>
      <w:proofErr w:type="spellStart"/>
      <w:r w:rsidRPr="003E7D19">
        <w:rPr>
          <w:szCs w:val="24"/>
        </w:rPr>
        <w:t>Embryonic</w:t>
      </w:r>
      <w:proofErr w:type="spellEnd"/>
      <w:r w:rsidRPr="003E7D19">
        <w:rPr>
          <w:szCs w:val="24"/>
        </w:rPr>
        <w:t xml:space="preserve"> </w:t>
      </w:r>
      <w:proofErr w:type="spellStart"/>
      <w:r w:rsidRPr="003E7D19">
        <w:rPr>
          <w:szCs w:val="24"/>
        </w:rPr>
        <w:t>Kidney</w:t>
      </w:r>
      <w:proofErr w:type="spellEnd"/>
      <w:r w:rsidRPr="003E7D19">
        <w:rPr>
          <w:szCs w:val="24"/>
        </w:rPr>
        <w:t xml:space="preserve"> 293 (HEK293) </w:t>
      </w:r>
      <w:proofErr w:type="spellStart"/>
      <w:r>
        <w:rPr>
          <w:szCs w:val="24"/>
        </w:rPr>
        <w:t>t</w:t>
      </w:r>
      <w:r w:rsidRPr="003E7D19">
        <w:rPr>
          <w:szCs w:val="24"/>
        </w:rPr>
        <w:t>ra</w:t>
      </w:r>
      <w:r>
        <w:rPr>
          <w:szCs w:val="24"/>
        </w:rPr>
        <w:t>n</w:t>
      </w:r>
      <w:r w:rsidRPr="003E7D19">
        <w:rPr>
          <w:szCs w:val="24"/>
        </w:rPr>
        <w:t>s</w:t>
      </w:r>
      <w:r>
        <w:rPr>
          <w:szCs w:val="24"/>
        </w:rPr>
        <w:t>fettate</w:t>
      </w:r>
      <w:proofErr w:type="spellEnd"/>
      <w:r>
        <w:rPr>
          <w:szCs w:val="24"/>
        </w:rPr>
        <w:t xml:space="preserve"> in modo transitorio con </w:t>
      </w:r>
      <w:r w:rsidRPr="003E7D19">
        <w:rPr>
          <w:szCs w:val="24"/>
        </w:rPr>
        <w:t xml:space="preserve">OR1 o OR2, </w:t>
      </w:r>
      <w:r>
        <w:rPr>
          <w:szCs w:val="24"/>
        </w:rPr>
        <w:t xml:space="preserve">una proteina G ricombinante e un reporter costituito da fosfatasi alcalina secreta regolato da un elemento di risposta a </w:t>
      </w:r>
      <w:proofErr w:type="spellStart"/>
      <w:r>
        <w:rPr>
          <w:szCs w:val="24"/>
        </w:rPr>
        <w:t>cAMP</w:t>
      </w:r>
      <w:proofErr w:type="spellEnd"/>
      <w:r w:rsidRPr="003E7D19">
        <w:rPr>
          <w:szCs w:val="24"/>
        </w:rPr>
        <w:t xml:space="preserve"> [</w:t>
      </w:r>
      <w:r>
        <w:rPr>
          <w:szCs w:val="24"/>
        </w:rPr>
        <w:t>45</w:t>
      </w:r>
      <w:r w:rsidRPr="003E7D19">
        <w:rPr>
          <w:szCs w:val="24"/>
        </w:rPr>
        <w:t xml:space="preserve">]. </w:t>
      </w:r>
      <w:r>
        <w:rPr>
          <w:szCs w:val="24"/>
        </w:rPr>
        <w:t>Come nel primo approccio indicato sopra, anche questi risultati saranno analizzati tramite interpolazione con una funzione sigmoidale per ottenere le stime di EC50 di ARO per OR1 e OR2 e confrontarle con quelle di OXA, in base a dati almeno in triplicato.</w:t>
      </w:r>
    </w:p>
    <w:p w14:paraId="6221B652" w14:textId="77777777" w:rsidR="00630766" w:rsidRPr="007805F0" w:rsidRDefault="00630766" w:rsidP="00630766">
      <w:pPr>
        <w:spacing w:line="360" w:lineRule="exact"/>
        <w:contextualSpacing/>
        <w:jc w:val="both"/>
        <w:rPr>
          <w:szCs w:val="24"/>
        </w:rPr>
      </w:pPr>
      <w:r>
        <w:rPr>
          <w:szCs w:val="24"/>
        </w:rPr>
        <w:tab/>
        <w:t xml:space="preserve">La fattibilità delle procedure sperimentali in vitro è supportata dalla disponibilità dei cloni cellulari necessari per il primo approccio sperimentale e dalla disponibilità in commercio degli </w:t>
      </w:r>
      <w:proofErr w:type="spellStart"/>
      <w:r>
        <w:rPr>
          <w:szCs w:val="24"/>
        </w:rPr>
        <w:t>assay</w:t>
      </w:r>
      <w:proofErr w:type="spellEnd"/>
      <w:r>
        <w:rPr>
          <w:szCs w:val="24"/>
        </w:rPr>
        <w:t xml:space="preserve"> kit per il secondo approccio sperimentale, oltre che dall’impiego del primo approccio sperimentale per l’ottenimento dei dati preliminari sopra menzionati.</w:t>
      </w:r>
    </w:p>
    <w:p w14:paraId="425C5735" w14:textId="77777777" w:rsidR="00630766" w:rsidRDefault="00630766" w:rsidP="00630766">
      <w:pPr>
        <w:spacing w:line="360" w:lineRule="exact"/>
        <w:ind w:firstLine="708"/>
        <w:contextualSpacing/>
        <w:jc w:val="both"/>
        <w:rPr>
          <w:szCs w:val="24"/>
        </w:rPr>
      </w:pPr>
    </w:p>
    <w:p w14:paraId="6B8A69E9" w14:textId="77777777" w:rsidR="00630766" w:rsidRPr="006E7194" w:rsidRDefault="00630766" w:rsidP="00630766">
      <w:pPr>
        <w:spacing w:line="360" w:lineRule="exact"/>
        <w:contextualSpacing/>
        <w:jc w:val="both"/>
        <w:rPr>
          <w:color w:val="C00000"/>
          <w:szCs w:val="24"/>
        </w:rPr>
      </w:pPr>
      <w:r w:rsidRPr="006E7194">
        <w:rPr>
          <w:color w:val="C00000"/>
          <w:szCs w:val="24"/>
        </w:rPr>
        <w:t>Letteratura citata:</w:t>
      </w:r>
    </w:p>
    <w:p w14:paraId="380E11CC" w14:textId="77777777" w:rsidR="00630766" w:rsidRPr="001A36E1" w:rsidRDefault="00630766" w:rsidP="00630766">
      <w:pPr>
        <w:spacing w:line="360" w:lineRule="exact"/>
        <w:contextualSpacing/>
        <w:jc w:val="both"/>
        <w:rPr>
          <w:szCs w:val="24"/>
        </w:rPr>
      </w:pPr>
      <w:r w:rsidRPr="001A36E1">
        <w:rPr>
          <w:szCs w:val="24"/>
        </w:rPr>
        <w:t xml:space="preserve">[1] Cell. </w:t>
      </w:r>
      <w:proofErr w:type="gramStart"/>
      <w:r w:rsidRPr="001A36E1">
        <w:rPr>
          <w:szCs w:val="24"/>
        </w:rPr>
        <w:t>1998;92:573</w:t>
      </w:r>
      <w:proofErr w:type="gramEnd"/>
      <w:r w:rsidRPr="001A36E1">
        <w:rPr>
          <w:szCs w:val="24"/>
        </w:rPr>
        <w:t>–85. PMID 9491897</w:t>
      </w:r>
    </w:p>
    <w:p w14:paraId="0ECD8638" w14:textId="77777777" w:rsidR="00630766" w:rsidRPr="00D921AB" w:rsidRDefault="00630766" w:rsidP="00630766">
      <w:pPr>
        <w:spacing w:line="360" w:lineRule="exact"/>
        <w:contextualSpacing/>
        <w:jc w:val="both"/>
        <w:rPr>
          <w:szCs w:val="24"/>
        </w:rPr>
      </w:pPr>
      <w:r w:rsidRPr="001A36E1">
        <w:rPr>
          <w:szCs w:val="24"/>
        </w:rPr>
        <w:t xml:space="preserve">[2] Proc </w:t>
      </w:r>
      <w:proofErr w:type="spellStart"/>
      <w:r w:rsidRPr="001A36E1">
        <w:rPr>
          <w:szCs w:val="24"/>
        </w:rPr>
        <w:t>Natl</w:t>
      </w:r>
      <w:proofErr w:type="spellEnd"/>
      <w:r w:rsidRPr="001A36E1">
        <w:rPr>
          <w:szCs w:val="24"/>
        </w:rPr>
        <w:t xml:space="preserve"> </w:t>
      </w:r>
      <w:proofErr w:type="spellStart"/>
      <w:r w:rsidRPr="001A36E1">
        <w:rPr>
          <w:szCs w:val="24"/>
        </w:rPr>
        <w:t>Acad</w:t>
      </w:r>
      <w:proofErr w:type="spellEnd"/>
      <w:r w:rsidRPr="001A36E1">
        <w:rPr>
          <w:szCs w:val="24"/>
        </w:rPr>
        <w:t xml:space="preserve"> Sci USA. </w:t>
      </w:r>
      <w:proofErr w:type="gramStart"/>
      <w:r w:rsidRPr="001A36E1">
        <w:rPr>
          <w:szCs w:val="24"/>
        </w:rPr>
        <w:t>1998;95:322</w:t>
      </w:r>
      <w:proofErr w:type="gramEnd"/>
      <w:r w:rsidRPr="001A36E1">
        <w:rPr>
          <w:szCs w:val="24"/>
        </w:rPr>
        <w:t xml:space="preserve">-7. </w:t>
      </w:r>
      <w:r w:rsidRPr="00D921AB">
        <w:rPr>
          <w:szCs w:val="24"/>
        </w:rPr>
        <w:t>PMID 9419374</w:t>
      </w:r>
    </w:p>
    <w:p w14:paraId="7DA2D447" w14:textId="77777777" w:rsidR="00630766" w:rsidRPr="00D921AB" w:rsidRDefault="00630766" w:rsidP="00630766">
      <w:pPr>
        <w:spacing w:line="360" w:lineRule="exact"/>
        <w:contextualSpacing/>
        <w:jc w:val="both"/>
        <w:rPr>
          <w:szCs w:val="24"/>
          <w:lang w:val="fr-FR"/>
        </w:rPr>
      </w:pPr>
      <w:r w:rsidRPr="00D921AB">
        <w:rPr>
          <w:szCs w:val="24"/>
          <w:lang w:val="fr-FR"/>
        </w:rPr>
        <w:t xml:space="preserve">[3] </w:t>
      </w:r>
      <w:proofErr w:type="spellStart"/>
      <w:r w:rsidRPr="00D921AB">
        <w:rPr>
          <w:szCs w:val="24"/>
          <w:lang w:val="fr-FR"/>
        </w:rPr>
        <w:t>Neuron</w:t>
      </w:r>
      <w:proofErr w:type="spellEnd"/>
      <w:r w:rsidRPr="00D921AB">
        <w:rPr>
          <w:szCs w:val="24"/>
          <w:lang w:val="fr-FR"/>
        </w:rPr>
        <w:t xml:space="preserve">. </w:t>
      </w:r>
      <w:proofErr w:type="gramStart"/>
      <w:r w:rsidRPr="00D921AB">
        <w:rPr>
          <w:szCs w:val="24"/>
          <w:lang w:val="fr-FR"/>
        </w:rPr>
        <w:t>2005;</w:t>
      </w:r>
      <w:proofErr w:type="gramEnd"/>
      <w:r w:rsidRPr="00D921AB">
        <w:rPr>
          <w:szCs w:val="24"/>
          <w:lang w:val="fr-FR"/>
        </w:rPr>
        <w:t>46:787–98. PMID 15924864</w:t>
      </w:r>
    </w:p>
    <w:p w14:paraId="6AB6A200" w14:textId="77777777" w:rsidR="00630766" w:rsidRPr="00D921AB" w:rsidRDefault="00630766" w:rsidP="00630766">
      <w:pPr>
        <w:spacing w:line="360" w:lineRule="exact"/>
        <w:contextualSpacing/>
        <w:jc w:val="both"/>
        <w:rPr>
          <w:szCs w:val="24"/>
          <w:lang w:val="fr-FR"/>
        </w:rPr>
      </w:pPr>
      <w:r w:rsidRPr="00D921AB">
        <w:rPr>
          <w:szCs w:val="24"/>
          <w:lang w:val="fr-FR"/>
        </w:rPr>
        <w:t xml:space="preserve">[4] Br J </w:t>
      </w:r>
      <w:proofErr w:type="spellStart"/>
      <w:r w:rsidRPr="00D921AB">
        <w:rPr>
          <w:szCs w:val="24"/>
          <w:lang w:val="fr-FR"/>
        </w:rPr>
        <w:t>Pharmacol</w:t>
      </w:r>
      <w:proofErr w:type="spellEnd"/>
      <w:r w:rsidRPr="00D921AB">
        <w:rPr>
          <w:szCs w:val="24"/>
          <w:lang w:val="fr-FR"/>
        </w:rPr>
        <w:t xml:space="preserve">. </w:t>
      </w:r>
      <w:proofErr w:type="gramStart"/>
      <w:r w:rsidRPr="00D921AB">
        <w:rPr>
          <w:szCs w:val="24"/>
          <w:lang w:val="fr-FR"/>
        </w:rPr>
        <w:t>2014;</w:t>
      </w:r>
      <w:proofErr w:type="gramEnd"/>
      <w:r w:rsidRPr="00D921AB">
        <w:rPr>
          <w:szCs w:val="24"/>
          <w:lang w:val="fr-FR"/>
        </w:rPr>
        <w:t>171: 294–313 PMID: 23848055</w:t>
      </w:r>
    </w:p>
    <w:p w14:paraId="7B71BDBA" w14:textId="77777777" w:rsidR="00630766" w:rsidRPr="00D921AB" w:rsidRDefault="00630766" w:rsidP="00630766">
      <w:pPr>
        <w:spacing w:line="360" w:lineRule="exact"/>
        <w:contextualSpacing/>
        <w:jc w:val="both"/>
        <w:rPr>
          <w:szCs w:val="24"/>
          <w:lang w:val="fr-FR"/>
        </w:rPr>
      </w:pPr>
      <w:r w:rsidRPr="00D921AB">
        <w:rPr>
          <w:szCs w:val="24"/>
          <w:lang w:val="fr-FR"/>
        </w:rPr>
        <w:t xml:space="preserve">[5] J </w:t>
      </w:r>
      <w:proofErr w:type="spellStart"/>
      <w:r w:rsidRPr="00D921AB">
        <w:rPr>
          <w:szCs w:val="24"/>
          <w:lang w:val="fr-FR"/>
        </w:rPr>
        <w:t>Neurosci</w:t>
      </w:r>
      <w:proofErr w:type="spellEnd"/>
      <w:r w:rsidRPr="00D921AB">
        <w:rPr>
          <w:szCs w:val="24"/>
          <w:lang w:val="fr-FR"/>
        </w:rPr>
        <w:t xml:space="preserve">. </w:t>
      </w:r>
      <w:proofErr w:type="gramStart"/>
      <w:r w:rsidRPr="00D921AB">
        <w:rPr>
          <w:szCs w:val="24"/>
          <w:lang w:val="fr-FR"/>
        </w:rPr>
        <w:t>1998;</w:t>
      </w:r>
      <w:proofErr w:type="gramEnd"/>
      <w:r w:rsidRPr="00D921AB">
        <w:rPr>
          <w:szCs w:val="24"/>
          <w:lang w:val="fr-FR"/>
        </w:rPr>
        <w:t>18:9996–10015. PMID 9822755</w:t>
      </w:r>
    </w:p>
    <w:p w14:paraId="55887FB5" w14:textId="77777777" w:rsidR="00630766" w:rsidRPr="00D921AB" w:rsidRDefault="00630766" w:rsidP="00630766">
      <w:pPr>
        <w:spacing w:line="360" w:lineRule="exact"/>
        <w:contextualSpacing/>
        <w:jc w:val="both"/>
        <w:rPr>
          <w:szCs w:val="24"/>
          <w:lang w:val="fr-FR"/>
        </w:rPr>
      </w:pPr>
      <w:r w:rsidRPr="00D921AB">
        <w:rPr>
          <w:szCs w:val="24"/>
          <w:lang w:val="fr-FR"/>
        </w:rPr>
        <w:t xml:space="preserve">[6] Nat </w:t>
      </w:r>
      <w:proofErr w:type="spellStart"/>
      <w:r w:rsidRPr="00D921AB">
        <w:rPr>
          <w:szCs w:val="24"/>
          <w:lang w:val="fr-FR"/>
        </w:rPr>
        <w:t>Rev</w:t>
      </w:r>
      <w:proofErr w:type="spellEnd"/>
      <w:r w:rsidRPr="00D921AB">
        <w:rPr>
          <w:szCs w:val="24"/>
          <w:lang w:val="fr-FR"/>
        </w:rPr>
        <w:t xml:space="preserve"> </w:t>
      </w:r>
      <w:proofErr w:type="spellStart"/>
      <w:r w:rsidRPr="00D921AB">
        <w:rPr>
          <w:szCs w:val="24"/>
          <w:lang w:val="fr-FR"/>
        </w:rPr>
        <w:t>Neurosci</w:t>
      </w:r>
      <w:proofErr w:type="spellEnd"/>
      <w:r w:rsidRPr="00D921AB">
        <w:rPr>
          <w:szCs w:val="24"/>
          <w:lang w:val="fr-FR"/>
        </w:rPr>
        <w:t xml:space="preserve">. </w:t>
      </w:r>
      <w:proofErr w:type="gramStart"/>
      <w:r w:rsidRPr="00D921AB">
        <w:rPr>
          <w:szCs w:val="24"/>
          <w:lang w:val="fr-FR"/>
        </w:rPr>
        <w:t>2007;</w:t>
      </w:r>
      <w:proofErr w:type="gramEnd"/>
      <w:r w:rsidRPr="00D921AB">
        <w:rPr>
          <w:szCs w:val="24"/>
          <w:lang w:val="fr-FR"/>
        </w:rPr>
        <w:t>8:171–181. PMID 17299454</w:t>
      </w:r>
    </w:p>
    <w:p w14:paraId="70981566" w14:textId="77777777" w:rsidR="00630766" w:rsidRPr="00275AE3" w:rsidRDefault="00630766" w:rsidP="00630766">
      <w:pPr>
        <w:spacing w:line="360" w:lineRule="exact"/>
        <w:contextualSpacing/>
        <w:jc w:val="both"/>
        <w:rPr>
          <w:szCs w:val="24"/>
          <w:lang w:val="en-US"/>
        </w:rPr>
      </w:pPr>
      <w:r w:rsidRPr="00D921AB">
        <w:rPr>
          <w:szCs w:val="24"/>
          <w:lang w:val="fr-FR"/>
        </w:rPr>
        <w:t xml:space="preserve">[7] </w:t>
      </w:r>
      <w:proofErr w:type="spellStart"/>
      <w:r w:rsidRPr="00D921AB">
        <w:rPr>
          <w:szCs w:val="24"/>
          <w:lang w:val="fr-FR"/>
        </w:rPr>
        <w:t>Neurology</w:t>
      </w:r>
      <w:proofErr w:type="spellEnd"/>
      <w:r w:rsidRPr="00D921AB">
        <w:rPr>
          <w:szCs w:val="24"/>
          <w:lang w:val="fr-FR"/>
        </w:rPr>
        <w:t xml:space="preserve">. </w:t>
      </w:r>
      <w:r w:rsidRPr="00275AE3">
        <w:rPr>
          <w:szCs w:val="24"/>
          <w:lang w:val="en-US"/>
        </w:rPr>
        <w:t>2014;82: 271-8. PMID 24363130</w:t>
      </w:r>
    </w:p>
    <w:p w14:paraId="1579D14F" w14:textId="77777777" w:rsidR="00630766" w:rsidRPr="00275AE3" w:rsidRDefault="00630766" w:rsidP="00630766">
      <w:pPr>
        <w:spacing w:line="360" w:lineRule="exact"/>
        <w:contextualSpacing/>
        <w:jc w:val="both"/>
        <w:rPr>
          <w:szCs w:val="24"/>
          <w:lang w:val="en-US"/>
        </w:rPr>
      </w:pPr>
      <w:r w:rsidRPr="00275AE3">
        <w:rPr>
          <w:szCs w:val="24"/>
          <w:lang w:val="en-US"/>
        </w:rPr>
        <w:t>[8] Clinical and Translational Neuroscience. 2018;2(2). doi:10.1177/2514183X18789327</w:t>
      </w:r>
    </w:p>
    <w:p w14:paraId="7D5F82DC" w14:textId="77777777" w:rsidR="00630766" w:rsidRPr="00275AE3" w:rsidRDefault="00630766" w:rsidP="00630766">
      <w:pPr>
        <w:spacing w:line="360" w:lineRule="exact"/>
        <w:contextualSpacing/>
        <w:jc w:val="both"/>
        <w:rPr>
          <w:szCs w:val="24"/>
          <w:lang w:val="en-US"/>
        </w:rPr>
      </w:pPr>
      <w:r w:rsidRPr="00275AE3">
        <w:rPr>
          <w:szCs w:val="24"/>
          <w:lang w:val="en-US"/>
        </w:rPr>
        <w:t xml:space="preserve">[9] J Am Coll </w:t>
      </w:r>
      <w:proofErr w:type="spellStart"/>
      <w:r w:rsidRPr="00275AE3">
        <w:rPr>
          <w:szCs w:val="24"/>
          <w:lang w:val="en-US"/>
        </w:rPr>
        <w:t>Cardiol</w:t>
      </w:r>
      <w:proofErr w:type="spellEnd"/>
      <w:r w:rsidRPr="00275AE3">
        <w:rPr>
          <w:szCs w:val="24"/>
          <w:lang w:val="en-US"/>
        </w:rPr>
        <w:t xml:space="preserve">. </w:t>
      </w:r>
      <w:proofErr w:type="gramStart"/>
      <w:r w:rsidRPr="00275AE3">
        <w:rPr>
          <w:szCs w:val="24"/>
          <w:lang w:val="en-US"/>
        </w:rPr>
        <w:t>2015;66:2522</w:t>
      </w:r>
      <w:proofErr w:type="gramEnd"/>
      <w:r w:rsidRPr="00275AE3">
        <w:rPr>
          <w:szCs w:val="24"/>
          <w:lang w:val="en-US"/>
        </w:rPr>
        <w:t>–33. PMID 26653627</w:t>
      </w:r>
    </w:p>
    <w:p w14:paraId="542C36D8" w14:textId="77777777" w:rsidR="00630766" w:rsidRPr="00275AE3" w:rsidRDefault="00630766" w:rsidP="00630766">
      <w:pPr>
        <w:spacing w:line="360" w:lineRule="exact"/>
        <w:contextualSpacing/>
        <w:jc w:val="both"/>
        <w:rPr>
          <w:szCs w:val="24"/>
          <w:lang w:val="en-US"/>
        </w:rPr>
      </w:pPr>
      <w:r w:rsidRPr="00275AE3">
        <w:rPr>
          <w:szCs w:val="24"/>
          <w:lang w:val="en-US"/>
        </w:rPr>
        <w:t xml:space="preserve">[10] Nature. </w:t>
      </w:r>
      <w:proofErr w:type="gramStart"/>
      <w:r w:rsidRPr="00275AE3">
        <w:rPr>
          <w:szCs w:val="24"/>
          <w:lang w:val="en-US"/>
        </w:rPr>
        <w:t>2019;566:383</w:t>
      </w:r>
      <w:proofErr w:type="gramEnd"/>
      <w:r w:rsidRPr="00275AE3">
        <w:rPr>
          <w:szCs w:val="24"/>
          <w:lang w:val="en-US"/>
        </w:rPr>
        <w:t>–7. PMID 30760925</w:t>
      </w:r>
    </w:p>
    <w:p w14:paraId="3F40DF4D" w14:textId="77777777" w:rsidR="00630766" w:rsidRPr="00275AE3" w:rsidRDefault="00630766" w:rsidP="00630766">
      <w:pPr>
        <w:spacing w:line="360" w:lineRule="exact"/>
        <w:contextualSpacing/>
        <w:jc w:val="both"/>
        <w:rPr>
          <w:szCs w:val="24"/>
          <w:lang w:val="en-US"/>
        </w:rPr>
      </w:pPr>
      <w:r w:rsidRPr="00275AE3">
        <w:rPr>
          <w:szCs w:val="24"/>
          <w:lang w:val="en-US"/>
        </w:rPr>
        <w:t xml:space="preserve">[11] J </w:t>
      </w:r>
      <w:proofErr w:type="spellStart"/>
      <w:r w:rsidRPr="00275AE3">
        <w:rPr>
          <w:szCs w:val="24"/>
          <w:lang w:val="en-US"/>
        </w:rPr>
        <w:t>Pharmacol</w:t>
      </w:r>
      <w:proofErr w:type="spellEnd"/>
      <w:r w:rsidRPr="00275AE3">
        <w:rPr>
          <w:szCs w:val="24"/>
          <w:lang w:val="en-US"/>
        </w:rPr>
        <w:t xml:space="preserve"> Exp </w:t>
      </w:r>
      <w:proofErr w:type="spellStart"/>
      <w:r w:rsidRPr="00275AE3">
        <w:rPr>
          <w:szCs w:val="24"/>
          <w:lang w:val="en-US"/>
        </w:rPr>
        <w:t>Ther</w:t>
      </w:r>
      <w:proofErr w:type="spellEnd"/>
      <w:r w:rsidRPr="00275AE3">
        <w:rPr>
          <w:szCs w:val="24"/>
          <w:lang w:val="en-US"/>
        </w:rPr>
        <w:t xml:space="preserve">. </w:t>
      </w:r>
      <w:proofErr w:type="gramStart"/>
      <w:r w:rsidRPr="00275AE3">
        <w:rPr>
          <w:szCs w:val="24"/>
          <w:lang w:val="en-US"/>
        </w:rPr>
        <w:t>1999;289:219</w:t>
      </w:r>
      <w:proofErr w:type="gramEnd"/>
      <w:r w:rsidRPr="00275AE3">
        <w:rPr>
          <w:szCs w:val="24"/>
          <w:lang w:val="en-US"/>
        </w:rPr>
        <w:t>–23. PMID 10087007</w:t>
      </w:r>
    </w:p>
    <w:p w14:paraId="36C356DA" w14:textId="77777777" w:rsidR="00630766" w:rsidRPr="00275AE3" w:rsidRDefault="00630766" w:rsidP="00630766">
      <w:pPr>
        <w:spacing w:line="360" w:lineRule="exact"/>
        <w:contextualSpacing/>
        <w:jc w:val="both"/>
        <w:rPr>
          <w:szCs w:val="24"/>
          <w:lang w:val="en-US"/>
        </w:rPr>
      </w:pPr>
      <w:r w:rsidRPr="00275AE3">
        <w:rPr>
          <w:szCs w:val="24"/>
          <w:lang w:val="en-US"/>
        </w:rPr>
        <w:t xml:space="preserve">[12] </w:t>
      </w:r>
      <w:proofErr w:type="spellStart"/>
      <w:r w:rsidRPr="00275AE3">
        <w:rPr>
          <w:szCs w:val="24"/>
          <w:lang w:val="en-US"/>
        </w:rPr>
        <w:t>Neurosci</w:t>
      </w:r>
      <w:proofErr w:type="spellEnd"/>
      <w:r w:rsidRPr="00275AE3">
        <w:rPr>
          <w:szCs w:val="24"/>
          <w:lang w:val="en-US"/>
        </w:rPr>
        <w:t xml:space="preserve"> Lett. </w:t>
      </w:r>
      <w:proofErr w:type="gramStart"/>
      <w:r w:rsidRPr="00275AE3">
        <w:rPr>
          <w:szCs w:val="24"/>
          <w:lang w:val="en-US"/>
        </w:rPr>
        <w:t>2003;346:182</w:t>
      </w:r>
      <w:proofErr w:type="gramEnd"/>
      <w:r w:rsidRPr="00275AE3">
        <w:rPr>
          <w:szCs w:val="24"/>
          <w:lang w:val="en-US"/>
        </w:rPr>
        <w:t>–6. PMID 12853114</w:t>
      </w:r>
    </w:p>
    <w:p w14:paraId="7EE7C6C7" w14:textId="77777777" w:rsidR="00630766" w:rsidRPr="00275AE3" w:rsidRDefault="00630766" w:rsidP="00630766">
      <w:pPr>
        <w:spacing w:line="360" w:lineRule="exact"/>
        <w:contextualSpacing/>
        <w:jc w:val="both"/>
        <w:rPr>
          <w:szCs w:val="24"/>
          <w:lang w:val="en-US"/>
        </w:rPr>
      </w:pPr>
      <w:r w:rsidRPr="00275AE3">
        <w:rPr>
          <w:szCs w:val="24"/>
          <w:lang w:val="en-US"/>
        </w:rPr>
        <w:t xml:space="preserve">[13] Peptides. </w:t>
      </w:r>
      <w:proofErr w:type="gramStart"/>
      <w:r w:rsidRPr="00275AE3">
        <w:rPr>
          <w:szCs w:val="24"/>
          <w:lang w:val="en-US"/>
        </w:rPr>
        <w:t>2002;23:1673</w:t>
      </w:r>
      <w:proofErr w:type="gramEnd"/>
      <w:r w:rsidRPr="00275AE3">
        <w:rPr>
          <w:szCs w:val="24"/>
          <w:lang w:val="en-US"/>
        </w:rPr>
        <w:t>–81. PMID 12217428</w:t>
      </w:r>
    </w:p>
    <w:p w14:paraId="1CC1BB7A" w14:textId="77777777" w:rsidR="00630766" w:rsidRPr="00275AE3" w:rsidRDefault="00630766" w:rsidP="00630766">
      <w:pPr>
        <w:spacing w:line="360" w:lineRule="exact"/>
        <w:contextualSpacing/>
        <w:jc w:val="both"/>
        <w:rPr>
          <w:szCs w:val="24"/>
          <w:lang w:val="en-US"/>
        </w:rPr>
      </w:pPr>
      <w:r w:rsidRPr="00275AE3">
        <w:rPr>
          <w:szCs w:val="24"/>
          <w:lang w:val="en-US"/>
        </w:rPr>
        <w:t xml:space="preserve">[14] ACS Chem </w:t>
      </w:r>
      <w:proofErr w:type="spellStart"/>
      <w:r w:rsidRPr="00275AE3">
        <w:rPr>
          <w:szCs w:val="24"/>
          <w:lang w:val="en-US"/>
        </w:rPr>
        <w:t>Neurosci</w:t>
      </w:r>
      <w:proofErr w:type="spellEnd"/>
      <w:r w:rsidRPr="00275AE3">
        <w:rPr>
          <w:szCs w:val="24"/>
          <w:lang w:val="en-US"/>
        </w:rPr>
        <w:t xml:space="preserve">. </w:t>
      </w:r>
      <w:proofErr w:type="gramStart"/>
      <w:r w:rsidRPr="00275AE3">
        <w:rPr>
          <w:szCs w:val="24"/>
          <w:lang w:val="en-US"/>
        </w:rPr>
        <w:t>2018;9:358</w:t>
      </w:r>
      <w:proofErr w:type="gramEnd"/>
      <w:r w:rsidRPr="00275AE3">
        <w:rPr>
          <w:szCs w:val="24"/>
          <w:lang w:val="en-US"/>
        </w:rPr>
        <w:t>–68. PMID 29035509</w:t>
      </w:r>
    </w:p>
    <w:p w14:paraId="4F420279" w14:textId="77777777" w:rsidR="00630766" w:rsidRPr="00275AE3" w:rsidRDefault="00630766" w:rsidP="00630766">
      <w:pPr>
        <w:spacing w:line="360" w:lineRule="exact"/>
        <w:contextualSpacing/>
        <w:jc w:val="both"/>
        <w:rPr>
          <w:szCs w:val="24"/>
          <w:lang w:val="en-US"/>
        </w:rPr>
      </w:pPr>
      <w:r w:rsidRPr="00275AE3">
        <w:rPr>
          <w:szCs w:val="24"/>
          <w:lang w:val="en-US"/>
        </w:rPr>
        <w:t xml:space="preserve">[15] Sleep Res Online. </w:t>
      </w:r>
      <w:proofErr w:type="gramStart"/>
      <w:r w:rsidRPr="00275AE3">
        <w:rPr>
          <w:szCs w:val="24"/>
          <w:lang w:val="en-US"/>
        </w:rPr>
        <w:t>2000;3:23</w:t>
      </w:r>
      <w:proofErr w:type="gramEnd"/>
      <w:r w:rsidRPr="00275AE3">
        <w:rPr>
          <w:szCs w:val="24"/>
          <w:lang w:val="en-US"/>
        </w:rPr>
        <w:t>–8. PMID 11382896</w:t>
      </w:r>
    </w:p>
    <w:p w14:paraId="3265BCEA" w14:textId="77777777" w:rsidR="00630766" w:rsidRPr="00275AE3" w:rsidRDefault="00630766" w:rsidP="00630766">
      <w:pPr>
        <w:spacing w:line="360" w:lineRule="exact"/>
        <w:contextualSpacing/>
        <w:jc w:val="both"/>
        <w:rPr>
          <w:szCs w:val="24"/>
          <w:lang w:val="en-US"/>
        </w:rPr>
      </w:pPr>
      <w:r w:rsidRPr="00275AE3">
        <w:rPr>
          <w:szCs w:val="24"/>
          <w:lang w:val="en-US"/>
        </w:rPr>
        <w:t xml:space="preserve">[16] Pain. </w:t>
      </w:r>
      <w:proofErr w:type="gramStart"/>
      <w:r w:rsidRPr="00275AE3">
        <w:rPr>
          <w:szCs w:val="24"/>
          <w:lang w:val="en-US"/>
        </w:rPr>
        <w:t>2001;92:81</w:t>
      </w:r>
      <w:proofErr w:type="gramEnd"/>
      <w:r w:rsidRPr="00275AE3">
        <w:rPr>
          <w:szCs w:val="24"/>
          <w:lang w:val="en-US"/>
        </w:rPr>
        <w:t>–90. PMID 11323129</w:t>
      </w:r>
    </w:p>
    <w:p w14:paraId="040D3880" w14:textId="77777777" w:rsidR="00630766" w:rsidRPr="00275AE3" w:rsidRDefault="00630766" w:rsidP="00630766">
      <w:pPr>
        <w:spacing w:line="360" w:lineRule="exact"/>
        <w:contextualSpacing/>
        <w:jc w:val="both"/>
        <w:rPr>
          <w:szCs w:val="24"/>
          <w:lang w:val="en-US"/>
        </w:rPr>
      </w:pPr>
      <w:r w:rsidRPr="00275AE3">
        <w:rPr>
          <w:szCs w:val="24"/>
          <w:lang w:val="en-US"/>
        </w:rPr>
        <w:t xml:space="preserve">[17] Sleep. </w:t>
      </w:r>
      <w:proofErr w:type="gramStart"/>
      <w:r w:rsidRPr="00275AE3">
        <w:rPr>
          <w:szCs w:val="24"/>
          <w:lang w:val="en-US"/>
        </w:rPr>
        <w:t>2003;26:953</w:t>
      </w:r>
      <w:proofErr w:type="gramEnd"/>
      <w:r w:rsidRPr="00275AE3">
        <w:rPr>
          <w:szCs w:val="24"/>
          <w:lang w:val="en-US"/>
        </w:rPr>
        <w:t>–9. PMID 14746374</w:t>
      </w:r>
    </w:p>
    <w:p w14:paraId="0A3D31AA" w14:textId="77777777" w:rsidR="00630766" w:rsidRPr="00275AE3" w:rsidRDefault="00630766" w:rsidP="00630766">
      <w:pPr>
        <w:spacing w:line="360" w:lineRule="exact"/>
        <w:contextualSpacing/>
        <w:jc w:val="both"/>
        <w:rPr>
          <w:szCs w:val="24"/>
          <w:lang w:val="en-US"/>
        </w:rPr>
      </w:pPr>
      <w:r w:rsidRPr="00275AE3">
        <w:rPr>
          <w:szCs w:val="24"/>
          <w:lang w:val="en-US"/>
        </w:rPr>
        <w:t>[18] Sleep. 2019;</w:t>
      </w:r>
      <w:proofErr w:type="gramStart"/>
      <w:r w:rsidRPr="00275AE3">
        <w:rPr>
          <w:szCs w:val="24"/>
          <w:lang w:val="en-US"/>
        </w:rPr>
        <w:t>42:zsz</w:t>
      </w:r>
      <w:proofErr w:type="gramEnd"/>
      <w:r w:rsidRPr="00275AE3">
        <w:rPr>
          <w:szCs w:val="24"/>
          <w:lang w:val="en-US"/>
        </w:rPr>
        <w:t>091. PMID 31004158</w:t>
      </w:r>
    </w:p>
    <w:p w14:paraId="68A6EBD8" w14:textId="77777777" w:rsidR="00630766" w:rsidRPr="00275AE3" w:rsidRDefault="00630766" w:rsidP="00630766">
      <w:pPr>
        <w:spacing w:line="360" w:lineRule="exact"/>
        <w:contextualSpacing/>
        <w:jc w:val="both"/>
        <w:rPr>
          <w:szCs w:val="24"/>
          <w:lang w:val="en-US"/>
        </w:rPr>
      </w:pPr>
      <w:r w:rsidRPr="00275AE3">
        <w:rPr>
          <w:szCs w:val="24"/>
          <w:lang w:val="en-US"/>
        </w:rPr>
        <w:t xml:space="preserve">[19] Nature Med. </w:t>
      </w:r>
      <w:proofErr w:type="gramStart"/>
      <w:r w:rsidRPr="00275AE3">
        <w:rPr>
          <w:szCs w:val="24"/>
          <w:lang w:val="en-US"/>
        </w:rPr>
        <w:t>2000;6:991</w:t>
      </w:r>
      <w:proofErr w:type="gramEnd"/>
      <w:r w:rsidRPr="00275AE3">
        <w:rPr>
          <w:szCs w:val="24"/>
          <w:lang w:val="en-US"/>
        </w:rPr>
        <w:t>–7. PMID 10973318</w:t>
      </w:r>
    </w:p>
    <w:p w14:paraId="66B2BA4C" w14:textId="77777777" w:rsidR="00630766" w:rsidRPr="00275AE3" w:rsidRDefault="00630766" w:rsidP="00630766">
      <w:pPr>
        <w:spacing w:line="360" w:lineRule="exact"/>
        <w:contextualSpacing/>
        <w:jc w:val="both"/>
        <w:rPr>
          <w:szCs w:val="24"/>
          <w:lang w:val="en-US"/>
        </w:rPr>
      </w:pPr>
      <w:r w:rsidRPr="00275AE3">
        <w:rPr>
          <w:szCs w:val="24"/>
          <w:lang w:val="en-US"/>
        </w:rPr>
        <w:t xml:space="preserve">[20] Nature Rev </w:t>
      </w:r>
      <w:proofErr w:type="spellStart"/>
      <w:r w:rsidRPr="00275AE3">
        <w:rPr>
          <w:szCs w:val="24"/>
          <w:lang w:val="en-US"/>
        </w:rPr>
        <w:t>Neurosci</w:t>
      </w:r>
      <w:proofErr w:type="spellEnd"/>
      <w:r w:rsidRPr="00275AE3">
        <w:rPr>
          <w:szCs w:val="24"/>
          <w:lang w:val="en-US"/>
        </w:rPr>
        <w:t xml:space="preserve">. </w:t>
      </w:r>
      <w:proofErr w:type="gramStart"/>
      <w:r w:rsidRPr="00275AE3">
        <w:rPr>
          <w:szCs w:val="24"/>
          <w:lang w:val="en-US"/>
        </w:rPr>
        <w:t>2019;20:83</w:t>
      </w:r>
      <w:proofErr w:type="gramEnd"/>
      <w:r w:rsidRPr="00275AE3">
        <w:rPr>
          <w:szCs w:val="24"/>
          <w:lang w:val="en-US"/>
        </w:rPr>
        <w:t>-93. PMID 30546103</w:t>
      </w:r>
    </w:p>
    <w:p w14:paraId="71A1E6F9" w14:textId="77777777" w:rsidR="00630766" w:rsidRPr="00275AE3" w:rsidRDefault="00630766" w:rsidP="00630766">
      <w:pPr>
        <w:spacing w:line="360" w:lineRule="exact"/>
        <w:contextualSpacing/>
        <w:jc w:val="both"/>
        <w:rPr>
          <w:szCs w:val="24"/>
          <w:lang w:val="en-US"/>
        </w:rPr>
      </w:pPr>
      <w:r w:rsidRPr="00275AE3">
        <w:rPr>
          <w:szCs w:val="24"/>
          <w:lang w:val="en-US"/>
        </w:rPr>
        <w:lastRenderedPageBreak/>
        <w:t xml:space="preserve">[21] Immunol Res. </w:t>
      </w:r>
      <w:proofErr w:type="gramStart"/>
      <w:r w:rsidRPr="00275AE3">
        <w:rPr>
          <w:szCs w:val="24"/>
          <w:lang w:val="en-US"/>
        </w:rPr>
        <w:t>2014;58:315</w:t>
      </w:r>
      <w:proofErr w:type="gramEnd"/>
      <w:r w:rsidRPr="00275AE3">
        <w:rPr>
          <w:szCs w:val="24"/>
          <w:lang w:val="en-US"/>
        </w:rPr>
        <w:t>-39. PMID 24825774</w:t>
      </w:r>
    </w:p>
    <w:p w14:paraId="6B26D7D7" w14:textId="77777777" w:rsidR="00630766" w:rsidRPr="00275AE3" w:rsidRDefault="00630766" w:rsidP="00630766">
      <w:pPr>
        <w:spacing w:line="360" w:lineRule="exact"/>
        <w:contextualSpacing/>
        <w:jc w:val="both"/>
        <w:rPr>
          <w:szCs w:val="24"/>
          <w:lang w:val="en-US"/>
        </w:rPr>
      </w:pPr>
      <w:r w:rsidRPr="00275AE3">
        <w:rPr>
          <w:szCs w:val="24"/>
          <w:lang w:val="en-US"/>
        </w:rPr>
        <w:t xml:space="preserve">[22] Neuron. </w:t>
      </w:r>
      <w:proofErr w:type="gramStart"/>
      <w:r w:rsidRPr="00275AE3">
        <w:rPr>
          <w:szCs w:val="24"/>
          <w:lang w:val="en-US"/>
        </w:rPr>
        <w:t>2001;30:345</w:t>
      </w:r>
      <w:proofErr w:type="gramEnd"/>
      <w:r w:rsidRPr="00275AE3">
        <w:rPr>
          <w:szCs w:val="24"/>
          <w:lang w:val="en-US"/>
        </w:rPr>
        <w:t>–54. PMID 11394998</w:t>
      </w:r>
    </w:p>
    <w:p w14:paraId="4C3336D6" w14:textId="77777777" w:rsidR="00630766" w:rsidRPr="00275AE3" w:rsidRDefault="00630766" w:rsidP="00630766">
      <w:pPr>
        <w:spacing w:line="360" w:lineRule="exact"/>
        <w:contextualSpacing/>
        <w:jc w:val="both"/>
        <w:rPr>
          <w:szCs w:val="24"/>
          <w:lang w:val="en-US"/>
        </w:rPr>
      </w:pPr>
      <w:r w:rsidRPr="00275AE3">
        <w:rPr>
          <w:szCs w:val="24"/>
          <w:lang w:val="en-US"/>
        </w:rPr>
        <w:t xml:space="preserve">[23] Cell. </w:t>
      </w:r>
      <w:proofErr w:type="gramStart"/>
      <w:r w:rsidRPr="00275AE3">
        <w:rPr>
          <w:szCs w:val="24"/>
          <w:lang w:val="en-US"/>
        </w:rPr>
        <w:t>1999;98:437</w:t>
      </w:r>
      <w:proofErr w:type="gramEnd"/>
      <w:r w:rsidRPr="00275AE3">
        <w:rPr>
          <w:szCs w:val="24"/>
          <w:lang w:val="en-US"/>
        </w:rPr>
        <w:t>–51. PMID 10481909</w:t>
      </w:r>
    </w:p>
    <w:p w14:paraId="63CB8097" w14:textId="77777777" w:rsidR="00630766" w:rsidRPr="00D921AB" w:rsidRDefault="00630766" w:rsidP="00630766">
      <w:pPr>
        <w:spacing w:line="360" w:lineRule="exact"/>
        <w:contextualSpacing/>
        <w:jc w:val="both"/>
        <w:rPr>
          <w:szCs w:val="24"/>
          <w:lang w:val="en-US"/>
        </w:rPr>
      </w:pPr>
      <w:r w:rsidRPr="00D921AB">
        <w:rPr>
          <w:szCs w:val="24"/>
          <w:lang w:val="en-US"/>
        </w:rPr>
        <w:t xml:space="preserve">[24] Neuron. </w:t>
      </w:r>
      <w:proofErr w:type="gramStart"/>
      <w:r w:rsidRPr="00D921AB">
        <w:rPr>
          <w:szCs w:val="24"/>
          <w:lang w:val="en-US"/>
        </w:rPr>
        <w:t>2003;38:715</w:t>
      </w:r>
      <w:proofErr w:type="gramEnd"/>
      <w:r w:rsidRPr="00D921AB">
        <w:rPr>
          <w:szCs w:val="24"/>
          <w:lang w:val="en-US"/>
        </w:rPr>
        <w:t>–30. PMID 12797957</w:t>
      </w:r>
    </w:p>
    <w:p w14:paraId="1110FA53" w14:textId="77777777" w:rsidR="00630766" w:rsidRPr="00275AE3" w:rsidRDefault="00630766" w:rsidP="00630766">
      <w:pPr>
        <w:spacing w:line="360" w:lineRule="exact"/>
        <w:contextualSpacing/>
        <w:jc w:val="both"/>
        <w:rPr>
          <w:szCs w:val="24"/>
          <w:lang w:val="en-US"/>
        </w:rPr>
      </w:pPr>
      <w:r w:rsidRPr="00D921AB">
        <w:rPr>
          <w:szCs w:val="24"/>
          <w:lang w:val="en-US"/>
        </w:rPr>
        <w:t xml:space="preserve">[25] J Clin Invest. </w:t>
      </w:r>
      <w:proofErr w:type="gramStart"/>
      <w:r w:rsidRPr="00275AE3">
        <w:rPr>
          <w:szCs w:val="24"/>
          <w:lang w:val="en-US"/>
        </w:rPr>
        <w:t>2014;124:604</w:t>
      </w:r>
      <w:proofErr w:type="gramEnd"/>
      <w:r w:rsidRPr="00275AE3">
        <w:rPr>
          <w:szCs w:val="24"/>
          <w:lang w:val="en-US"/>
        </w:rPr>
        <w:t>–16. PMID 24382351</w:t>
      </w:r>
    </w:p>
    <w:p w14:paraId="535FF0FB" w14:textId="77777777" w:rsidR="00630766" w:rsidRPr="00275AE3" w:rsidRDefault="00630766" w:rsidP="00630766">
      <w:pPr>
        <w:spacing w:line="360" w:lineRule="exact"/>
        <w:contextualSpacing/>
        <w:jc w:val="both"/>
        <w:rPr>
          <w:szCs w:val="24"/>
          <w:lang w:val="en-US"/>
        </w:rPr>
      </w:pPr>
      <w:r w:rsidRPr="00275AE3">
        <w:rPr>
          <w:szCs w:val="24"/>
          <w:lang w:val="en-US"/>
        </w:rPr>
        <w:t xml:space="preserve">[26] Proc Natl </w:t>
      </w:r>
      <w:proofErr w:type="spellStart"/>
      <w:r w:rsidRPr="00275AE3">
        <w:rPr>
          <w:szCs w:val="24"/>
          <w:lang w:val="en-US"/>
        </w:rPr>
        <w:t>Acad</w:t>
      </w:r>
      <w:proofErr w:type="spellEnd"/>
      <w:r w:rsidRPr="00275AE3">
        <w:rPr>
          <w:szCs w:val="24"/>
          <w:lang w:val="en-US"/>
        </w:rPr>
        <w:t xml:space="preserve"> Sci USA. </w:t>
      </w:r>
      <w:proofErr w:type="gramStart"/>
      <w:r w:rsidRPr="00275AE3">
        <w:rPr>
          <w:szCs w:val="24"/>
          <w:lang w:val="en-US"/>
        </w:rPr>
        <w:t>2004;101:4649</w:t>
      </w:r>
      <w:proofErr w:type="gramEnd"/>
      <w:r w:rsidRPr="00275AE3">
        <w:rPr>
          <w:szCs w:val="24"/>
          <w:lang w:val="en-US"/>
        </w:rPr>
        <w:t>–54. PMID 15070772</w:t>
      </w:r>
    </w:p>
    <w:p w14:paraId="22ACBB2E" w14:textId="77777777" w:rsidR="00630766" w:rsidRPr="00275AE3" w:rsidRDefault="00630766" w:rsidP="00630766">
      <w:pPr>
        <w:spacing w:line="360" w:lineRule="exact"/>
        <w:contextualSpacing/>
        <w:jc w:val="both"/>
        <w:rPr>
          <w:szCs w:val="24"/>
          <w:lang w:val="en-US"/>
        </w:rPr>
      </w:pPr>
      <w:r w:rsidRPr="00275AE3">
        <w:rPr>
          <w:szCs w:val="24"/>
          <w:lang w:val="en-US"/>
        </w:rPr>
        <w:t xml:space="preserve">[27] </w:t>
      </w:r>
      <w:proofErr w:type="spellStart"/>
      <w:r w:rsidRPr="00275AE3">
        <w:rPr>
          <w:szCs w:val="24"/>
          <w:lang w:val="en-US"/>
        </w:rPr>
        <w:t>Eur</w:t>
      </w:r>
      <w:proofErr w:type="spellEnd"/>
      <w:r w:rsidRPr="00275AE3">
        <w:rPr>
          <w:szCs w:val="24"/>
          <w:lang w:val="en-US"/>
        </w:rPr>
        <w:t xml:space="preserve"> J </w:t>
      </w:r>
      <w:proofErr w:type="spellStart"/>
      <w:r w:rsidRPr="00275AE3">
        <w:rPr>
          <w:szCs w:val="24"/>
          <w:lang w:val="en-US"/>
        </w:rPr>
        <w:t>Neurosci</w:t>
      </w:r>
      <w:proofErr w:type="spellEnd"/>
      <w:r w:rsidRPr="00275AE3">
        <w:rPr>
          <w:szCs w:val="24"/>
          <w:lang w:val="en-US"/>
        </w:rPr>
        <w:t xml:space="preserve">. </w:t>
      </w:r>
      <w:proofErr w:type="gramStart"/>
      <w:r w:rsidRPr="00275AE3">
        <w:rPr>
          <w:szCs w:val="24"/>
          <w:lang w:val="en-US"/>
        </w:rPr>
        <w:t>2008;28:1382</w:t>
      </w:r>
      <w:proofErr w:type="gramEnd"/>
      <w:r w:rsidRPr="00275AE3">
        <w:rPr>
          <w:szCs w:val="24"/>
          <w:lang w:val="en-US"/>
        </w:rPr>
        <w:t>–93. PMID 18973565</w:t>
      </w:r>
    </w:p>
    <w:p w14:paraId="5795A010" w14:textId="77777777" w:rsidR="00630766" w:rsidRPr="00275AE3" w:rsidRDefault="00630766" w:rsidP="00630766">
      <w:pPr>
        <w:spacing w:line="360" w:lineRule="exact"/>
        <w:contextualSpacing/>
        <w:jc w:val="both"/>
        <w:rPr>
          <w:szCs w:val="24"/>
          <w:lang w:val="en-US"/>
        </w:rPr>
      </w:pPr>
      <w:r w:rsidRPr="00275AE3">
        <w:rPr>
          <w:szCs w:val="24"/>
          <w:lang w:val="en-US"/>
        </w:rPr>
        <w:t xml:space="preserve">[28] </w:t>
      </w:r>
      <w:proofErr w:type="spellStart"/>
      <w:r w:rsidRPr="00275AE3">
        <w:rPr>
          <w:szCs w:val="24"/>
          <w:lang w:val="en-US"/>
        </w:rPr>
        <w:t>Progr</w:t>
      </w:r>
      <w:proofErr w:type="spellEnd"/>
      <w:r w:rsidRPr="00275AE3">
        <w:rPr>
          <w:szCs w:val="24"/>
          <w:lang w:val="en-US"/>
        </w:rPr>
        <w:t xml:space="preserve"> </w:t>
      </w:r>
      <w:proofErr w:type="spellStart"/>
      <w:r w:rsidRPr="00275AE3">
        <w:rPr>
          <w:szCs w:val="24"/>
          <w:lang w:val="en-US"/>
        </w:rPr>
        <w:t>Neurobiol</w:t>
      </w:r>
      <w:proofErr w:type="spellEnd"/>
      <w:r w:rsidRPr="00275AE3">
        <w:rPr>
          <w:szCs w:val="24"/>
          <w:lang w:val="en-US"/>
        </w:rPr>
        <w:t xml:space="preserve">. </w:t>
      </w:r>
      <w:proofErr w:type="gramStart"/>
      <w:r w:rsidRPr="00275AE3">
        <w:rPr>
          <w:szCs w:val="24"/>
          <w:lang w:val="en-US"/>
        </w:rPr>
        <w:t>2017;152:89</w:t>
      </w:r>
      <w:proofErr w:type="gramEnd"/>
      <w:r w:rsidRPr="00275AE3">
        <w:rPr>
          <w:szCs w:val="24"/>
          <w:lang w:val="en-US"/>
        </w:rPr>
        <w:t>-113. PMID 26721620</w:t>
      </w:r>
    </w:p>
    <w:p w14:paraId="222A632D" w14:textId="77777777" w:rsidR="00630766" w:rsidRPr="00275AE3" w:rsidRDefault="00630766" w:rsidP="00630766">
      <w:pPr>
        <w:spacing w:line="360" w:lineRule="exact"/>
        <w:contextualSpacing/>
        <w:jc w:val="both"/>
        <w:rPr>
          <w:szCs w:val="24"/>
          <w:lang w:val="en-US"/>
        </w:rPr>
      </w:pPr>
      <w:r w:rsidRPr="00275AE3">
        <w:rPr>
          <w:szCs w:val="24"/>
          <w:lang w:val="en-US"/>
        </w:rPr>
        <w:t xml:space="preserve">[29] J Vet Intern Med. </w:t>
      </w:r>
      <w:proofErr w:type="gramStart"/>
      <w:r w:rsidRPr="00275AE3">
        <w:rPr>
          <w:szCs w:val="24"/>
          <w:lang w:val="en-US"/>
        </w:rPr>
        <w:t>2004;18:586</w:t>
      </w:r>
      <w:proofErr w:type="gramEnd"/>
      <w:r w:rsidRPr="00275AE3">
        <w:rPr>
          <w:szCs w:val="24"/>
          <w:lang w:val="en-US"/>
        </w:rPr>
        <w:t>–8. PMID 15320603</w:t>
      </w:r>
    </w:p>
    <w:p w14:paraId="4F2B7543" w14:textId="77777777" w:rsidR="00630766" w:rsidRPr="00275AE3" w:rsidRDefault="00630766" w:rsidP="00630766">
      <w:pPr>
        <w:spacing w:line="360" w:lineRule="exact"/>
        <w:contextualSpacing/>
        <w:jc w:val="both"/>
        <w:rPr>
          <w:szCs w:val="24"/>
          <w:lang w:val="en-US"/>
        </w:rPr>
      </w:pPr>
      <w:r w:rsidRPr="00275AE3">
        <w:rPr>
          <w:szCs w:val="24"/>
          <w:lang w:val="en-US"/>
        </w:rPr>
        <w:t xml:space="preserve">[30] Proc Natl </w:t>
      </w:r>
      <w:proofErr w:type="spellStart"/>
      <w:r w:rsidRPr="00275AE3">
        <w:rPr>
          <w:szCs w:val="24"/>
          <w:lang w:val="en-US"/>
        </w:rPr>
        <w:t>Acad</w:t>
      </w:r>
      <w:proofErr w:type="spellEnd"/>
      <w:r w:rsidRPr="00275AE3">
        <w:rPr>
          <w:szCs w:val="24"/>
          <w:lang w:val="en-US"/>
        </w:rPr>
        <w:t xml:space="preserve"> Sci USA. </w:t>
      </w:r>
      <w:proofErr w:type="gramStart"/>
      <w:r w:rsidRPr="00275AE3">
        <w:rPr>
          <w:szCs w:val="24"/>
          <w:lang w:val="en-US"/>
        </w:rPr>
        <w:t>2018;115:6046</w:t>
      </w:r>
      <w:proofErr w:type="gramEnd"/>
      <w:r w:rsidRPr="00275AE3">
        <w:rPr>
          <w:szCs w:val="24"/>
          <w:lang w:val="en-US"/>
        </w:rPr>
        <w:t>–51. PMID 29784823</w:t>
      </w:r>
    </w:p>
    <w:p w14:paraId="513E62DB" w14:textId="77777777" w:rsidR="00630766" w:rsidRPr="00275AE3" w:rsidRDefault="00630766" w:rsidP="00630766">
      <w:pPr>
        <w:spacing w:line="360" w:lineRule="exact"/>
        <w:contextualSpacing/>
        <w:jc w:val="both"/>
        <w:rPr>
          <w:szCs w:val="24"/>
          <w:lang w:val="en-US"/>
        </w:rPr>
      </w:pPr>
      <w:r w:rsidRPr="00275AE3">
        <w:rPr>
          <w:szCs w:val="24"/>
          <w:lang w:val="en-US"/>
        </w:rPr>
        <w:t xml:space="preserve">[31] Sleep Med. </w:t>
      </w:r>
      <w:proofErr w:type="gramStart"/>
      <w:r w:rsidRPr="00275AE3">
        <w:rPr>
          <w:szCs w:val="24"/>
          <w:lang w:val="en-US"/>
        </w:rPr>
        <w:t>2011;12:941</w:t>
      </w:r>
      <w:proofErr w:type="gramEnd"/>
      <w:r w:rsidRPr="00275AE3">
        <w:rPr>
          <w:szCs w:val="24"/>
          <w:lang w:val="en-US"/>
        </w:rPr>
        <w:t>–6. PMID 22036605</w:t>
      </w:r>
    </w:p>
    <w:p w14:paraId="61634B64" w14:textId="77777777" w:rsidR="00630766" w:rsidRPr="00275AE3" w:rsidRDefault="00630766" w:rsidP="00630766">
      <w:pPr>
        <w:spacing w:line="360" w:lineRule="exact"/>
        <w:contextualSpacing/>
        <w:jc w:val="both"/>
        <w:rPr>
          <w:szCs w:val="24"/>
          <w:lang w:val="en-US"/>
        </w:rPr>
      </w:pPr>
      <w:r w:rsidRPr="00275AE3">
        <w:rPr>
          <w:szCs w:val="24"/>
          <w:lang w:val="en-US"/>
        </w:rPr>
        <w:t xml:space="preserve">[32] J Med Chem. </w:t>
      </w:r>
      <w:proofErr w:type="gramStart"/>
      <w:r w:rsidRPr="00275AE3">
        <w:rPr>
          <w:szCs w:val="24"/>
          <w:lang w:val="en-US"/>
        </w:rPr>
        <w:t>2015;58:7931</w:t>
      </w:r>
      <w:proofErr w:type="gramEnd"/>
      <w:r w:rsidRPr="00275AE3">
        <w:rPr>
          <w:szCs w:val="24"/>
          <w:lang w:val="en-US"/>
        </w:rPr>
        <w:t>–7. PMID 26267383</w:t>
      </w:r>
    </w:p>
    <w:p w14:paraId="39502162" w14:textId="77777777" w:rsidR="00630766" w:rsidRPr="00275AE3" w:rsidRDefault="00630766" w:rsidP="00630766">
      <w:pPr>
        <w:spacing w:line="360" w:lineRule="exact"/>
        <w:contextualSpacing/>
        <w:jc w:val="both"/>
        <w:rPr>
          <w:szCs w:val="24"/>
          <w:lang w:val="en-US"/>
        </w:rPr>
      </w:pPr>
      <w:r w:rsidRPr="00275AE3">
        <w:rPr>
          <w:szCs w:val="24"/>
          <w:lang w:val="en-US"/>
        </w:rPr>
        <w:t xml:space="preserve">[33] Proc Natl </w:t>
      </w:r>
      <w:proofErr w:type="spellStart"/>
      <w:r w:rsidRPr="00275AE3">
        <w:rPr>
          <w:szCs w:val="24"/>
          <w:lang w:val="en-US"/>
        </w:rPr>
        <w:t>Acad</w:t>
      </w:r>
      <w:proofErr w:type="spellEnd"/>
      <w:r w:rsidRPr="00275AE3">
        <w:rPr>
          <w:szCs w:val="24"/>
          <w:lang w:val="en-US"/>
        </w:rPr>
        <w:t xml:space="preserve"> Sci USA. </w:t>
      </w:r>
      <w:proofErr w:type="gramStart"/>
      <w:r w:rsidRPr="00275AE3">
        <w:rPr>
          <w:szCs w:val="24"/>
          <w:lang w:val="en-US"/>
        </w:rPr>
        <w:t>2017;114:5731</w:t>
      </w:r>
      <w:proofErr w:type="gramEnd"/>
      <w:r w:rsidRPr="00275AE3">
        <w:rPr>
          <w:szCs w:val="24"/>
          <w:lang w:val="en-US"/>
        </w:rPr>
        <w:t>–6. PMID 28507129</w:t>
      </w:r>
    </w:p>
    <w:p w14:paraId="521D6F36" w14:textId="77777777" w:rsidR="00630766" w:rsidRPr="00275AE3" w:rsidRDefault="00630766" w:rsidP="00630766">
      <w:pPr>
        <w:spacing w:line="360" w:lineRule="exact"/>
        <w:contextualSpacing/>
        <w:jc w:val="both"/>
        <w:rPr>
          <w:szCs w:val="24"/>
          <w:lang w:val="en-US"/>
        </w:rPr>
      </w:pPr>
      <w:r w:rsidRPr="00275AE3">
        <w:rPr>
          <w:szCs w:val="24"/>
          <w:lang w:val="en-US"/>
        </w:rPr>
        <w:t xml:space="preserve">[34] </w:t>
      </w:r>
      <w:proofErr w:type="spellStart"/>
      <w:r w:rsidRPr="00275AE3">
        <w:rPr>
          <w:szCs w:val="24"/>
          <w:lang w:val="en-US"/>
        </w:rPr>
        <w:t>Pharmacol</w:t>
      </w:r>
      <w:proofErr w:type="spellEnd"/>
      <w:r w:rsidRPr="00275AE3">
        <w:rPr>
          <w:szCs w:val="24"/>
          <w:lang w:val="en-US"/>
        </w:rPr>
        <w:t xml:space="preserve"> </w:t>
      </w:r>
      <w:proofErr w:type="spellStart"/>
      <w:r w:rsidRPr="00275AE3">
        <w:rPr>
          <w:szCs w:val="24"/>
          <w:lang w:val="en-US"/>
        </w:rPr>
        <w:t>Biochem</w:t>
      </w:r>
      <w:proofErr w:type="spellEnd"/>
      <w:r w:rsidRPr="00275AE3">
        <w:rPr>
          <w:szCs w:val="24"/>
          <w:lang w:val="en-US"/>
        </w:rPr>
        <w:t xml:space="preserve"> </w:t>
      </w:r>
      <w:proofErr w:type="spellStart"/>
      <w:r w:rsidRPr="00275AE3">
        <w:rPr>
          <w:szCs w:val="24"/>
          <w:lang w:val="en-US"/>
        </w:rPr>
        <w:t>Behav</w:t>
      </w:r>
      <w:proofErr w:type="spellEnd"/>
      <w:r w:rsidRPr="00275AE3">
        <w:rPr>
          <w:szCs w:val="24"/>
          <w:lang w:val="en-US"/>
        </w:rPr>
        <w:t xml:space="preserve">. </w:t>
      </w:r>
      <w:proofErr w:type="gramStart"/>
      <w:r w:rsidRPr="00275AE3">
        <w:rPr>
          <w:szCs w:val="24"/>
          <w:lang w:val="en-US"/>
        </w:rPr>
        <w:t>2019;187:172794</w:t>
      </w:r>
      <w:proofErr w:type="gramEnd"/>
      <w:r w:rsidRPr="00275AE3">
        <w:rPr>
          <w:szCs w:val="24"/>
          <w:lang w:val="en-US"/>
        </w:rPr>
        <w:t>. PMID 31654653</w:t>
      </w:r>
    </w:p>
    <w:p w14:paraId="4E4056D0" w14:textId="77777777" w:rsidR="00630766" w:rsidRPr="00275AE3" w:rsidRDefault="00630766" w:rsidP="00630766">
      <w:pPr>
        <w:spacing w:line="360" w:lineRule="exact"/>
        <w:contextualSpacing/>
        <w:jc w:val="both"/>
        <w:rPr>
          <w:szCs w:val="24"/>
          <w:lang w:val="en-US"/>
        </w:rPr>
      </w:pPr>
      <w:r w:rsidRPr="00275AE3">
        <w:rPr>
          <w:szCs w:val="24"/>
          <w:lang w:val="en-US"/>
        </w:rPr>
        <w:t>[35] J Sleep Res. 2020;29(S1):72 (Abstract P06)</w:t>
      </w:r>
    </w:p>
    <w:p w14:paraId="154F4E7E" w14:textId="77777777" w:rsidR="00630766" w:rsidRPr="00275AE3" w:rsidRDefault="00630766" w:rsidP="00630766">
      <w:pPr>
        <w:spacing w:line="360" w:lineRule="exact"/>
        <w:contextualSpacing/>
        <w:jc w:val="both"/>
        <w:rPr>
          <w:szCs w:val="24"/>
          <w:lang w:val="en-US"/>
        </w:rPr>
      </w:pPr>
      <w:r w:rsidRPr="00275AE3">
        <w:rPr>
          <w:szCs w:val="24"/>
          <w:lang w:val="en-US"/>
        </w:rPr>
        <w:t>[36] J Sleep Res. 2020;29(S1):175 (Abstract P213)</w:t>
      </w:r>
    </w:p>
    <w:p w14:paraId="1E8304F4" w14:textId="77777777" w:rsidR="00630766" w:rsidRDefault="00630766" w:rsidP="00630766">
      <w:pPr>
        <w:spacing w:line="360" w:lineRule="exact"/>
        <w:contextualSpacing/>
        <w:jc w:val="both"/>
        <w:rPr>
          <w:szCs w:val="24"/>
          <w:lang w:val="en-US"/>
        </w:rPr>
      </w:pPr>
      <w:r w:rsidRPr="00275AE3">
        <w:rPr>
          <w:szCs w:val="24"/>
          <w:lang w:val="en-US"/>
        </w:rPr>
        <w:t>[37] J Sleep Res. 2020;29(S1):175–6 (Abstract P214)</w:t>
      </w:r>
    </w:p>
    <w:p w14:paraId="2361BB91" w14:textId="77777777" w:rsidR="00630766" w:rsidRDefault="00630766" w:rsidP="00630766">
      <w:pPr>
        <w:spacing w:line="360" w:lineRule="exact"/>
        <w:contextualSpacing/>
        <w:jc w:val="both"/>
        <w:rPr>
          <w:szCs w:val="24"/>
          <w:lang w:val="en-US"/>
        </w:rPr>
      </w:pPr>
      <w:r>
        <w:rPr>
          <w:szCs w:val="24"/>
          <w:lang w:val="en-US"/>
        </w:rPr>
        <w:t xml:space="preserve">[38] </w:t>
      </w:r>
      <w:r w:rsidRPr="00AE7795">
        <w:rPr>
          <w:szCs w:val="24"/>
          <w:lang w:val="en-US"/>
        </w:rPr>
        <w:t xml:space="preserve">Sleep. </w:t>
      </w:r>
      <w:proofErr w:type="gramStart"/>
      <w:r w:rsidRPr="00AE7795">
        <w:rPr>
          <w:szCs w:val="24"/>
          <w:lang w:val="en-US"/>
        </w:rPr>
        <w:t>2009;32:111</w:t>
      </w:r>
      <w:proofErr w:type="gramEnd"/>
      <w:r w:rsidRPr="00AE7795">
        <w:rPr>
          <w:szCs w:val="24"/>
          <w:lang w:val="en-US"/>
        </w:rPr>
        <w:t>-6.</w:t>
      </w:r>
      <w:r>
        <w:rPr>
          <w:szCs w:val="24"/>
          <w:lang w:val="en-US"/>
        </w:rPr>
        <w:t xml:space="preserve"> PMID </w:t>
      </w:r>
      <w:r w:rsidRPr="00AE7795">
        <w:rPr>
          <w:szCs w:val="24"/>
          <w:lang w:val="en-US"/>
        </w:rPr>
        <w:t>19189786</w:t>
      </w:r>
      <w:r>
        <w:rPr>
          <w:szCs w:val="24"/>
          <w:lang w:val="en-US"/>
        </w:rPr>
        <w:t>.</w:t>
      </w:r>
    </w:p>
    <w:p w14:paraId="7765629E" w14:textId="77777777" w:rsidR="00630766" w:rsidRDefault="00630766" w:rsidP="00630766">
      <w:pPr>
        <w:shd w:val="clear" w:color="auto" w:fill="FFFFFF"/>
        <w:spacing w:line="360" w:lineRule="exact"/>
        <w:rPr>
          <w:szCs w:val="24"/>
          <w:lang w:val="en-US"/>
        </w:rPr>
      </w:pPr>
      <w:r>
        <w:rPr>
          <w:szCs w:val="24"/>
          <w:lang w:val="en-US"/>
        </w:rPr>
        <w:t xml:space="preserve">[39] </w:t>
      </w:r>
      <w:r w:rsidRPr="00B246F2">
        <w:rPr>
          <w:szCs w:val="24"/>
          <w:lang w:val="en-US"/>
        </w:rPr>
        <w:t>Exp Neurol. </w:t>
      </w:r>
      <w:proofErr w:type="gramStart"/>
      <w:r w:rsidRPr="00B246F2">
        <w:rPr>
          <w:szCs w:val="24"/>
          <w:lang w:val="en-US"/>
        </w:rPr>
        <w:t>2009;217:46</w:t>
      </w:r>
      <w:proofErr w:type="gramEnd"/>
      <w:r w:rsidRPr="00B246F2">
        <w:rPr>
          <w:szCs w:val="24"/>
          <w:lang w:val="en-US"/>
        </w:rPr>
        <w:t>-54. PMID: 19416673</w:t>
      </w:r>
    </w:p>
    <w:p w14:paraId="07854967" w14:textId="77777777" w:rsidR="00630766" w:rsidRDefault="00630766" w:rsidP="00630766">
      <w:pPr>
        <w:shd w:val="clear" w:color="auto" w:fill="FFFFFF"/>
        <w:spacing w:line="360" w:lineRule="exact"/>
        <w:rPr>
          <w:szCs w:val="24"/>
          <w:lang w:val="en-US"/>
        </w:rPr>
      </w:pPr>
      <w:r>
        <w:rPr>
          <w:szCs w:val="24"/>
          <w:lang w:val="en-US"/>
        </w:rPr>
        <w:t xml:space="preserve">[40] </w:t>
      </w:r>
      <w:r w:rsidRPr="00F739E1">
        <w:rPr>
          <w:szCs w:val="24"/>
          <w:lang w:val="en-US"/>
        </w:rPr>
        <w:t xml:space="preserve">Sleep. </w:t>
      </w:r>
      <w:proofErr w:type="gramStart"/>
      <w:r w:rsidRPr="00F739E1">
        <w:rPr>
          <w:szCs w:val="24"/>
          <w:lang w:val="en-US"/>
        </w:rPr>
        <w:t>2022;zsac</w:t>
      </w:r>
      <w:proofErr w:type="gramEnd"/>
      <w:r w:rsidRPr="00F739E1">
        <w:rPr>
          <w:szCs w:val="24"/>
          <w:lang w:val="en-US"/>
        </w:rPr>
        <w:t xml:space="preserve">089. </w:t>
      </w:r>
      <w:proofErr w:type="spellStart"/>
      <w:r w:rsidRPr="00F739E1">
        <w:rPr>
          <w:szCs w:val="24"/>
          <w:lang w:val="en-US"/>
        </w:rPr>
        <w:t>doi</w:t>
      </w:r>
      <w:proofErr w:type="spellEnd"/>
      <w:r w:rsidRPr="00F739E1">
        <w:rPr>
          <w:szCs w:val="24"/>
          <w:lang w:val="en-US"/>
        </w:rPr>
        <w:t>: 10.1093/sleep/zsac089</w:t>
      </w:r>
      <w:r>
        <w:rPr>
          <w:szCs w:val="24"/>
          <w:lang w:val="en-US"/>
        </w:rPr>
        <w:t>.</w:t>
      </w:r>
      <w:r w:rsidRPr="00F739E1">
        <w:rPr>
          <w:szCs w:val="24"/>
          <w:lang w:val="en-US"/>
        </w:rPr>
        <w:t xml:space="preserve"> PMID: 35429396</w:t>
      </w:r>
    </w:p>
    <w:p w14:paraId="1F5DAD97" w14:textId="77777777" w:rsidR="00630766" w:rsidRDefault="00630766" w:rsidP="00630766">
      <w:pPr>
        <w:shd w:val="clear" w:color="auto" w:fill="FFFFFF"/>
        <w:spacing w:line="360" w:lineRule="exact"/>
        <w:rPr>
          <w:szCs w:val="24"/>
          <w:lang w:val="en-US"/>
        </w:rPr>
      </w:pPr>
      <w:r>
        <w:rPr>
          <w:szCs w:val="24"/>
          <w:lang w:val="en-US"/>
        </w:rPr>
        <w:t xml:space="preserve">[41] </w:t>
      </w:r>
      <w:r w:rsidRPr="00F7240C">
        <w:rPr>
          <w:szCs w:val="24"/>
          <w:lang w:val="en-US"/>
        </w:rPr>
        <w:t xml:space="preserve">Sleep. </w:t>
      </w:r>
      <w:proofErr w:type="gramStart"/>
      <w:r w:rsidRPr="00F7240C">
        <w:rPr>
          <w:szCs w:val="24"/>
          <w:lang w:val="en-US"/>
        </w:rPr>
        <w:t>2011;34:213</w:t>
      </w:r>
      <w:proofErr w:type="gramEnd"/>
      <w:r w:rsidRPr="00F7240C">
        <w:rPr>
          <w:szCs w:val="24"/>
          <w:lang w:val="en-US"/>
        </w:rPr>
        <w:t>-8. PMID: 21286242</w:t>
      </w:r>
    </w:p>
    <w:p w14:paraId="67D94408" w14:textId="77777777" w:rsidR="00630766" w:rsidRDefault="00630766" w:rsidP="00630766">
      <w:pPr>
        <w:shd w:val="clear" w:color="auto" w:fill="FFFFFF"/>
        <w:spacing w:line="360" w:lineRule="exact"/>
        <w:rPr>
          <w:szCs w:val="24"/>
          <w:lang w:val="en-US"/>
        </w:rPr>
      </w:pPr>
      <w:r>
        <w:rPr>
          <w:szCs w:val="24"/>
          <w:lang w:val="en-US"/>
        </w:rPr>
        <w:t xml:space="preserve">[42] </w:t>
      </w:r>
      <w:proofErr w:type="spellStart"/>
      <w:r w:rsidRPr="00A01949">
        <w:rPr>
          <w:szCs w:val="24"/>
          <w:lang w:val="en-US"/>
        </w:rPr>
        <w:t>PLoS</w:t>
      </w:r>
      <w:proofErr w:type="spellEnd"/>
      <w:r w:rsidRPr="00A01949">
        <w:rPr>
          <w:szCs w:val="24"/>
          <w:lang w:val="en-US"/>
        </w:rPr>
        <w:t xml:space="preserve"> One. 2012;7(4</w:t>
      </w:r>
      <w:proofErr w:type="gramStart"/>
      <w:r w:rsidRPr="00A01949">
        <w:rPr>
          <w:szCs w:val="24"/>
          <w:lang w:val="en-US"/>
        </w:rPr>
        <w:t>):e</w:t>
      </w:r>
      <w:proofErr w:type="gramEnd"/>
      <w:r w:rsidRPr="00A01949">
        <w:rPr>
          <w:szCs w:val="24"/>
          <w:lang w:val="en-US"/>
        </w:rPr>
        <w:t>35538.</w:t>
      </w:r>
      <w:r>
        <w:rPr>
          <w:szCs w:val="24"/>
          <w:lang w:val="en-US"/>
        </w:rPr>
        <w:t xml:space="preserve"> </w:t>
      </w:r>
      <w:r w:rsidRPr="00A01949">
        <w:rPr>
          <w:szCs w:val="24"/>
          <w:lang w:val="en-US"/>
        </w:rPr>
        <w:t>PMID: 22514749</w:t>
      </w:r>
    </w:p>
    <w:p w14:paraId="1513E05E" w14:textId="77777777" w:rsidR="00630766" w:rsidRDefault="00630766" w:rsidP="00630766">
      <w:pPr>
        <w:shd w:val="clear" w:color="auto" w:fill="FFFFFF"/>
        <w:spacing w:line="360" w:lineRule="exact"/>
        <w:rPr>
          <w:szCs w:val="24"/>
          <w:lang w:val="en-US"/>
        </w:rPr>
      </w:pPr>
      <w:r>
        <w:rPr>
          <w:szCs w:val="24"/>
          <w:lang w:val="en-US"/>
        </w:rPr>
        <w:t xml:space="preserve">[43] </w:t>
      </w:r>
      <w:r w:rsidRPr="00684023">
        <w:rPr>
          <w:szCs w:val="24"/>
          <w:lang w:val="en-US"/>
        </w:rPr>
        <w:t xml:space="preserve">FEBS </w:t>
      </w:r>
      <w:r>
        <w:rPr>
          <w:szCs w:val="24"/>
          <w:lang w:val="en-US"/>
        </w:rPr>
        <w:t>L</w:t>
      </w:r>
      <w:r w:rsidRPr="00684023">
        <w:rPr>
          <w:szCs w:val="24"/>
          <w:lang w:val="en-US"/>
        </w:rPr>
        <w:t>etter</w:t>
      </w:r>
      <w:r>
        <w:rPr>
          <w:szCs w:val="24"/>
          <w:lang w:val="en-US"/>
        </w:rPr>
        <w:t>s.</w:t>
      </w:r>
      <w:r w:rsidRPr="00684023">
        <w:rPr>
          <w:szCs w:val="24"/>
          <w:lang w:val="en-US"/>
        </w:rPr>
        <w:t xml:space="preserve"> </w:t>
      </w:r>
      <w:proofErr w:type="gramStart"/>
      <w:r w:rsidRPr="00684023">
        <w:rPr>
          <w:szCs w:val="24"/>
          <w:lang w:val="en-US"/>
        </w:rPr>
        <w:t>2002</w:t>
      </w:r>
      <w:r>
        <w:rPr>
          <w:szCs w:val="24"/>
          <w:lang w:val="en-US"/>
        </w:rPr>
        <w:t>;</w:t>
      </w:r>
      <w:r w:rsidRPr="00684023">
        <w:rPr>
          <w:szCs w:val="24"/>
          <w:lang w:val="en-US"/>
        </w:rPr>
        <w:t>526:11</w:t>
      </w:r>
      <w:proofErr w:type="gramEnd"/>
      <w:r w:rsidRPr="00684023">
        <w:rPr>
          <w:szCs w:val="24"/>
          <w:lang w:val="en-US"/>
        </w:rPr>
        <w:t>-4. PMID: 12208495</w:t>
      </w:r>
    </w:p>
    <w:p w14:paraId="36933A7C" w14:textId="77777777" w:rsidR="00630766" w:rsidRDefault="00630766" w:rsidP="00630766">
      <w:pPr>
        <w:shd w:val="clear" w:color="auto" w:fill="FFFFFF"/>
        <w:spacing w:line="360" w:lineRule="exact"/>
        <w:rPr>
          <w:szCs w:val="24"/>
          <w:lang w:val="en-US"/>
        </w:rPr>
      </w:pPr>
      <w:r>
        <w:rPr>
          <w:szCs w:val="24"/>
          <w:lang w:val="en-US"/>
        </w:rPr>
        <w:t xml:space="preserve">[44] </w:t>
      </w:r>
      <w:proofErr w:type="spellStart"/>
      <w:r w:rsidRPr="006839D3">
        <w:rPr>
          <w:szCs w:val="24"/>
          <w:lang w:val="en-US"/>
        </w:rPr>
        <w:t>Neurosci</w:t>
      </w:r>
      <w:proofErr w:type="spellEnd"/>
      <w:r w:rsidRPr="006839D3">
        <w:rPr>
          <w:szCs w:val="24"/>
          <w:lang w:val="en-US"/>
        </w:rPr>
        <w:t xml:space="preserve"> Lett</w:t>
      </w:r>
      <w:r>
        <w:rPr>
          <w:szCs w:val="24"/>
          <w:lang w:val="en-US"/>
        </w:rPr>
        <w:t>.</w:t>
      </w:r>
      <w:r w:rsidRPr="006839D3">
        <w:rPr>
          <w:szCs w:val="24"/>
          <w:lang w:val="en-US"/>
        </w:rPr>
        <w:t xml:space="preserve"> </w:t>
      </w:r>
      <w:proofErr w:type="gramStart"/>
      <w:r w:rsidRPr="006839D3">
        <w:rPr>
          <w:szCs w:val="24"/>
          <w:lang w:val="en-US"/>
        </w:rPr>
        <w:t>2011;494:57</w:t>
      </w:r>
      <w:proofErr w:type="gramEnd"/>
      <w:r w:rsidRPr="006839D3">
        <w:rPr>
          <w:szCs w:val="24"/>
          <w:lang w:val="en-US"/>
        </w:rPr>
        <w:t>–60</w:t>
      </w:r>
      <w:r>
        <w:rPr>
          <w:szCs w:val="24"/>
          <w:lang w:val="en-US"/>
        </w:rPr>
        <w:t xml:space="preserve">. </w:t>
      </w:r>
      <w:r w:rsidRPr="006839D3">
        <w:rPr>
          <w:szCs w:val="24"/>
          <w:lang w:val="en-US"/>
        </w:rPr>
        <w:t>PMID: 21362456</w:t>
      </w:r>
    </w:p>
    <w:p w14:paraId="493773B3" w14:textId="77777777" w:rsidR="00630766" w:rsidRPr="00D921AB" w:rsidRDefault="00630766" w:rsidP="00630766">
      <w:pPr>
        <w:shd w:val="clear" w:color="auto" w:fill="FFFFFF"/>
        <w:spacing w:line="360" w:lineRule="exact"/>
        <w:rPr>
          <w:szCs w:val="24"/>
        </w:rPr>
      </w:pPr>
      <w:r>
        <w:rPr>
          <w:szCs w:val="24"/>
          <w:lang w:val="en-US"/>
        </w:rPr>
        <w:t xml:space="preserve">[45] </w:t>
      </w:r>
      <w:proofErr w:type="spellStart"/>
      <w:r w:rsidRPr="003E7D19">
        <w:rPr>
          <w:szCs w:val="24"/>
          <w:lang w:val="en-US"/>
        </w:rPr>
        <w:t>Eur</w:t>
      </w:r>
      <w:proofErr w:type="spellEnd"/>
      <w:r w:rsidRPr="003E7D19">
        <w:rPr>
          <w:szCs w:val="24"/>
          <w:lang w:val="en-US"/>
        </w:rPr>
        <w:t xml:space="preserve"> Rev Med </w:t>
      </w:r>
      <w:proofErr w:type="spellStart"/>
      <w:r w:rsidRPr="003E7D19">
        <w:rPr>
          <w:szCs w:val="24"/>
          <w:lang w:val="en-US"/>
        </w:rPr>
        <w:t>Pharmacol</w:t>
      </w:r>
      <w:proofErr w:type="spellEnd"/>
      <w:r w:rsidRPr="003E7D19">
        <w:rPr>
          <w:szCs w:val="24"/>
          <w:lang w:val="en-US"/>
        </w:rPr>
        <w:t xml:space="preserve"> Sci</w:t>
      </w:r>
      <w:r>
        <w:rPr>
          <w:szCs w:val="24"/>
          <w:lang w:val="en-US"/>
        </w:rPr>
        <w:t>.</w:t>
      </w:r>
      <w:r w:rsidRPr="003E7D19">
        <w:rPr>
          <w:szCs w:val="24"/>
          <w:lang w:val="en-US"/>
        </w:rPr>
        <w:t xml:space="preserve"> </w:t>
      </w:r>
      <w:proofErr w:type="gramStart"/>
      <w:r w:rsidRPr="003E7D19">
        <w:rPr>
          <w:szCs w:val="24"/>
          <w:lang w:val="en-US"/>
        </w:rPr>
        <w:t>2020;24:5127</w:t>
      </w:r>
      <w:proofErr w:type="gramEnd"/>
      <w:r w:rsidRPr="003E7D19">
        <w:rPr>
          <w:szCs w:val="24"/>
          <w:lang w:val="en-US"/>
        </w:rPr>
        <w:t>–39</w:t>
      </w:r>
      <w:r>
        <w:rPr>
          <w:szCs w:val="24"/>
          <w:lang w:val="en-US"/>
        </w:rPr>
        <w:t xml:space="preserve">. </w:t>
      </w:r>
      <w:r w:rsidRPr="00D921AB">
        <w:rPr>
          <w:szCs w:val="24"/>
        </w:rPr>
        <w:t>PMID: 32432777</w:t>
      </w:r>
    </w:p>
    <w:p w14:paraId="73A6B561" w14:textId="28B9188A" w:rsidR="00630766" w:rsidRDefault="00630766" w:rsidP="001E2127">
      <w:pPr>
        <w:jc w:val="center"/>
      </w:pPr>
    </w:p>
    <w:p w14:paraId="5FEF3914" w14:textId="776D9106" w:rsidR="00630766" w:rsidRDefault="00630766">
      <w:pPr>
        <w:overflowPunct/>
        <w:autoSpaceDE/>
        <w:autoSpaceDN/>
        <w:adjustRightInd/>
        <w:textAlignment w:val="auto"/>
      </w:pPr>
      <w:r>
        <w:br w:type="page"/>
      </w:r>
    </w:p>
    <w:p w14:paraId="584BB2B7" w14:textId="77777777" w:rsidR="00630766" w:rsidRPr="00D921AB" w:rsidRDefault="00630766" w:rsidP="00630766">
      <w:pPr>
        <w:spacing w:line="360" w:lineRule="exact"/>
        <w:jc w:val="center"/>
        <w:rPr>
          <w:b/>
          <w:color w:val="C00000"/>
        </w:rPr>
      </w:pPr>
      <w:r w:rsidRPr="00D921AB">
        <w:rPr>
          <w:b/>
          <w:color w:val="C00000"/>
          <w:sz w:val="32"/>
        </w:rPr>
        <w:lastRenderedPageBreak/>
        <w:t>PROGRAMMA DI FORMAZIONE DELL’ASSEGNISTA</w:t>
      </w:r>
    </w:p>
    <w:p w14:paraId="6B13FC9B" w14:textId="77777777" w:rsidR="00630766" w:rsidRDefault="00630766" w:rsidP="00630766">
      <w:pPr>
        <w:spacing w:line="360" w:lineRule="exact"/>
        <w:jc w:val="center"/>
        <w:rPr>
          <w:b/>
          <w:color w:val="000000" w:themeColor="text1"/>
          <w:sz w:val="28"/>
        </w:rPr>
      </w:pPr>
    </w:p>
    <w:p w14:paraId="78CEB640" w14:textId="77777777" w:rsidR="00630766" w:rsidRPr="002A7880" w:rsidRDefault="00630766" w:rsidP="00630766">
      <w:pPr>
        <w:spacing w:line="360" w:lineRule="exact"/>
        <w:jc w:val="center"/>
        <w:rPr>
          <w:b/>
          <w:color w:val="000000" w:themeColor="text1"/>
          <w:u w:val="single"/>
        </w:rPr>
      </w:pPr>
      <w:r w:rsidRPr="002A7880">
        <w:rPr>
          <w:b/>
          <w:color w:val="000000" w:themeColor="text1"/>
          <w:u w:val="single"/>
        </w:rPr>
        <w:t xml:space="preserve">Richiesta di un assegno di ricerca </w:t>
      </w:r>
      <w:r>
        <w:rPr>
          <w:b/>
          <w:color w:val="000000" w:themeColor="text1"/>
          <w:u w:val="single"/>
        </w:rPr>
        <w:t>co</w:t>
      </w:r>
      <w:r w:rsidRPr="002A7880">
        <w:rPr>
          <w:b/>
          <w:color w:val="000000" w:themeColor="text1"/>
          <w:u w:val="single"/>
        </w:rPr>
        <w:t>fin</w:t>
      </w:r>
      <w:r>
        <w:rPr>
          <w:b/>
          <w:color w:val="000000" w:themeColor="text1"/>
          <w:u w:val="single"/>
        </w:rPr>
        <w:t>anziato su Budget Integrato 2022</w:t>
      </w:r>
    </w:p>
    <w:p w14:paraId="2D329D7A" w14:textId="77777777" w:rsidR="00630766" w:rsidRPr="002A7880" w:rsidRDefault="00630766" w:rsidP="00630766">
      <w:pPr>
        <w:spacing w:line="360" w:lineRule="exact"/>
        <w:jc w:val="center"/>
        <w:rPr>
          <w:b/>
          <w:color w:val="000000" w:themeColor="text1"/>
        </w:rPr>
      </w:pPr>
      <w:r w:rsidRPr="002A7880">
        <w:rPr>
          <w:b/>
          <w:color w:val="000000" w:themeColor="text1"/>
        </w:rPr>
        <w:t>TUTOR: PROF. ALESSANDRO SILVANI</w:t>
      </w:r>
    </w:p>
    <w:p w14:paraId="09D01E46" w14:textId="77777777" w:rsidR="00630766" w:rsidRPr="002A7880" w:rsidRDefault="00630766" w:rsidP="00630766">
      <w:pPr>
        <w:spacing w:line="360" w:lineRule="exact"/>
        <w:jc w:val="center"/>
        <w:rPr>
          <w:b/>
          <w:color w:val="000000" w:themeColor="text1"/>
          <w:sz w:val="28"/>
        </w:rPr>
      </w:pPr>
      <w:r w:rsidRPr="002A7880">
        <w:rPr>
          <w:b/>
          <w:color w:val="000000" w:themeColor="text1"/>
        </w:rPr>
        <w:t>DIP. SCIENZE BIOMEDICHE E NEUROMOTORIE</w:t>
      </w:r>
    </w:p>
    <w:p w14:paraId="10262BD0" w14:textId="77777777" w:rsidR="00630766" w:rsidRDefault="00630766" w:rsidP="00630766">
      <w:pPr>
        <w:spacing w:line="360" w:lineRule="exact"/>
        <w:jc w:val="center"/>
        <w:rPr>
          <w:b/>
          <w:color w:val="000000" w:themeColor="text1"/>
          <w:sz w:val="28"/>
        </w:rPr>
      </w:pPr>
    </w:p>
    <w:p w14:paraId="236B8FE0" w14:textId="77777777" w:rsidR="00630766" w:rsidRPr="00D921AB" w:rsidRDefault="00630766" w:rsidP="00630766">
      <w:pPr>
        <w:spacing w:line="360" w:lineRule="exact"/>
        <w:rPr>
          <w:b/>
          <w:color w:val="C00000"/>
          <w:sz w:val="28"/>
        </w:rPr>
      </w:pPr>
      <w:r w:rsidRPr="00D921AB">
        <w:rPr>
          <w:b/>
          <w:color w:val="C00000"/>
          <w:sz w:val="28"/>
        </w:rPr>
        <w:t>Titolo</w:t>
      </w:r>
    </w:p>
    <w:p w14:paraId="707B3886" w14:textId="77777777" w:rsidR="00630766" w:rsidRDefault="00630766" w:rsidP="00630766">
      <w:pPr>
        <w:spacing w:line="360" w:lineRule="exact"/>
        <w:jc w:val="both"/>
        <w:rPr>
          <w:b/>
          <w:color w:val="000000" w:themeColor="text1"/>
          <w:sz w:val="28"/>
        </w:rPr>
      </w:pPr>
      <w:r w:rsidRPr="00AA7EE2">
        <w:rPr>
          <w:b/>
          <w:color w:val="000000" w:themeColor="text1"/>
          <w:sz w:val="28"/>
        </w:rPr>
        <w:t xml:space="preserve">Sviluppo preclinico di </w:t>
      </w:r>
      <w:r>
        <w:rPr>
          <w:b/>
          <w:color w:val="000000" w:themeColor="text1"/>
          <w:sz w:val="28"/>
        </w:rPr>
        <w:t xml:space="preserve">un </w:t>
      </w:r>
      <w:r w:rsidRPr="00AA7EE2">
        <w:rPr>
          <w:b/>
          <w:color w:val="000000" w:themeColor="text1"/>
          <w:sz w:val="28"/>
        </w:rPr>
        <w:t>agonist</w:t>
      </w:r>
      <w:r>
        <w:rPr>
          <w:b/>
          <w:color w:val="000000" w:themeColor="text1"/>
          <w:sz w:val="28"/>
        </w:rPr>
        <w:t>a</w:t>
      </w:r>
      <w:r w:rsidRPr="00AA7EE2">
        <w:rPr>
          <w:b/>
          <w:color w:val="000000" w:themeColor="text1"/>
          <w:sz w:val="28"/>
        </w:rPr>
        <w:t xml:space="preserve"> dei recettori delle </w:t>
      </w:r>
      <w:proofErr w:type="spellStart"/>
      <w:r w:rsidRPr="00AA7EE2">
        <w:rPr>
          <w:b/>
          <w:color w:val="000000" w:themeColor="text1"/>
          <w:sz w:val="28"/>
        </w:rPr>
        <w:t>orexine</w:t>
      </w:r>
      <w:proofErr w:type="spellEnd"/>
      <w:r w:rsidRPr="00AA7EE2">
        <w:rPr>
          <w:b/>
          <w:color w:val="000000" w:themeColor="text1"/>
          <w:sz w:val="28"/>
        </w:rPr>
        <w:t xml:space="preserve"> per la terapia della narcolessia di tipo 1</w:t>
      </w:r>
    </w:p>
    <w:p w14:paraId="6CEF1220" w14:textId="77777777" w:rsidR="00630766" w:rsidRDefault="00630766" w:rsidP="00630766">
      <w:pPr>
        <w:spacing w:line="360" w:lineRule="exact"/>
        <w:rPr>
          <w:b/>
          <w:color w:val="FF0000"/>
          <w:sz w:val="36"/>
        </w:rPr>
      </w:pPr>
    </w:p>
    <w:p w14:paraId="2A97548E" w14:textId="77777777" w:rsidR="00630766" w:rsidRPr="00D921AB" w:rsidRDefault="00630766" w:rsidP="00630766">
      <w:pPr>
        <w:spacing w:line="360" w:lineRule="exact"/>
        <w:rPr>
          <w:b/>
          <w:color w:val="C00000"/>
          <w:sz w:val="36"/>
        </w:rPr>
      </w:pPr>
      <w:r w:rsidRPr="00D921AB">
        <w:rPr>
          <w:b/>
          <w:color w:val="C00000"/>
          <w:sz w:val="36"/>
        </w:rPr>
        <w:t>Piano di attività e formazione dell’Assegnista</w:t>
      </w:r>
    </w:p>
    <w:p w14:paraId="5B892BED" w14:textId="77777777" w:rsidR="00630766" w:rsidRPr="0084754A" w:rsidRDefault="00630766" w:rsidP="00630766">
      <w:pPr>
        <w:spacing w:line="360" w:lineRule="exact"/>
        <w:jc w:val="both"/>
      </w:pPr>
      <w:r w:rsidRPr="0084754A">
        <w:t xml:space="preserve">Il </w:t>
      </w:r>
      <w:r>
        <w:t xml:space="preserve">o la </w:t>
      </w:r>
      <w:r w:rsidRPr="0084754A">
        <w:t>titolar</w:t>
      </w:r>
      <w:r>
        <w:t>e</w:t>
      </w:r>
      <w:r w:rsidRPr="0084754A">
        <w:t xml:space="preserve"> dell’assegno collaborerà </w:t>
      </w:r>
      <w:r>
        <w:t>a</w:t>
      </w:r>
      <w:r w:rsidRPr="0084754A">
        <w:t xml:space="preserve">lle seguenti attività: </w:t>
      </w:r>
      <w:r>
        <w:t xml:space="preserve">gestione della colonia di topi knock-out per le </w:t>
      </w:r>
      <w:proofErr w:type="spellStart"/>
      <w:r>
        <w:t>orexine</w:t>
      </w:r>
      <w:proofErr w:type="spellEnd"/>
      <w:r>
        <w:t xml:space="preserve"> (OX-KO)</w:t>
      </w:r>
      <w:r w:rsidRPr="0084754A">
        <w:t xml:space="preserve">; </w:t>
      </w:r>
      <w:r>
        <w:t xml:space="preserve">costruzione di elettrodi per registrazioni elettroencefalografiche (EEG) ed elettromiografiche (EMG); </w:t>
      </w:r>
      <w:r w:rsidRPr="0084754A">
        <w:t>attività microchirurgica di impianto di elettrodi</w:t>
      </w:r>
      <w:r>
        <w:t xml:space="preserve"> EEG e EMG</w:t>
      </w:r>
      <w:r w:rsidRPr="0084754A">
        <w:t>; registrazion</w:t>
      </w:r>
      <w:r>
        <w:t>i EEG, EMG e video</w:t>
      </w:r>
      <w:r w:rsidRPr="0084754A">
        <w:t xml:space="preserve"> in topi liberi di muoversi; discriminazione degli stati di veglia</w:t>
      </w:r>
      <w:r>
        <w:t xml:space="preserve"> e sonno e cataplessia </w:t>
      </w:r>
      <w:r w:rsidRPr="0084754A">
        <w:t xml:space="preserve">in base all’analisi dei tracciati </w:t>
      </w:r>
      <w:r>
        <w:t>EEG, EMG e video</w:t>
      </w:r>
      <w:r w:rsidRPr="0084754A">
        <w:t xml:space="preserve">; </w:t>
      </w:r>
      <w:r>
        <w:t xml:space="preserve">gestione dei cloni cellulari Neuro2a e HEK293; saggi di risposta cellulare a diverse concentrazioni di agonisti dei recettori </w:t>
      </w:r>
      <w:proofErr w:type="spellStart"/>
      <w:r>
        <w:t>orexinergici</w:t>
      </w:r>
      <w:proofErr w:type="spellEnd"/>
      <w:r>
        <w:t xml:space="preserve">; </w:t>
      </w:r>
      <w:r w:rsidRPr="0084754A">
        <w:t>analisi matematica e statistica ed interpretazione dei risultati ottenuti.</w:t>
      </w:r>
    </w:p>
    <w:p w14:paraId="38670913" w14:textId="77777777" w:rsidR="00630766" w:rsidRPr="0084754A" w:rsidRDefault="00630766" w:rsidP="00630766">
      <w:pPr>
        <w:spacing w:line="360" w:lineRule="exact"/>
        <w:jc w:val="both"/>
      </w:pPr>
      <w:r w:rsidRPr="0084754A">
        <w:t>Il present</w:t>
      </w:r>
      <w:r>
        <w:t>e programma di ricerca si avvarrà</w:t>
      </w:r>
      <w:r w:rsidRPr="0084754A">
        <w:t xml:space="preserve"> di tecniche già messe a punto </w:t>
      </w:r>
      <w:r>
        <w:t>ne</w:t>
      </w:r>
      <w:r w:rsidRPr="0084754A">
        <w:t>l laboratorio</w:t>
      </w:r>
      <w:r>
        <w:t xml:space="preserve"> del proponente</w:t>
      </w:r>
      <w:r w:rsidRPr="0084754A">
        <w:t>. L</w:t>
      </w:r>
      <w:r>
        <w:t>a colonia murina necessaria</w:t>
      </w:r>
      <w:r w:rsidRPr="0084754A">
        <w:t xml:space="preserve"> </w:t>
      </w:r>
      <w:r>
        <w:t xml:space="preserve">e i cloni cellulari non in commercio sono </w:t>
      </w:r>
      <w:r w:rsidRPr="0084754A">
        <w:t>già disponibil</w:t>
      </w:r>
      <w:r>
        <w:t>i</w:t>
      </w:r>
      <w:r w:rsidRPr="0084754A">
        <w:t xml:space="preserve"> </w:t>
      </w:r>
      <w:r>
        <w:t xml:space="preserve">al </w:t>
      </w:r>
      <w:r w:rsidRPr="0084754A">
        <w:t xml:space="preserve">laboratorio. </w:t>
      </w:r>
      <w:r>
        <w:t>Dati preliminari sono già stati ottenuti e illustrati in sintesi nella proposta di progetto allegata</w:t>
      </w:r>
      <w:r>
        <w:rPr>
          <w:szCs w:val="24"/>
        </w:rPr>
        <w:t xml:space="preserve">. </w:t>
      </w:r>
      <w:r w:rsidRPr="0084754A">
        <w:t>Ci si attende quindi che durante il periodo (1 anno) dell’assegno di ricerca, il</w:t>
      </w:r>
      <w:r>
        <w:t>/la</w:t>
      </w:r>
      <w:r w:rsidRPr="0084754A">
        <w:t xml:space="preserve"> titolare ottenga </w:t>
      </w:r>
      <w:r>
        <w:t xml:space="preserve">quindi </w:t>
      </w:r>
      <w:r w:rsidRPr="0084754A">
        <w:t>dati</w:t>
      </w:r>
      <w:r>
        <w:t xml:space="preserve"> </w:t>
      </w:r>
      <w:r w:rsidRPr="0084754A">
        <w:t>su</w:t>
      </w:r>
      <w:r>
        <w:t>ll’obiettivo proposto</w:t>
      </w:r>
      <w:r w:rsidRPr="0084754A">
        <w:t xml:space="preserve">. </w:t>
      </w:r>
    </w:p>
    <w:p w14:paraId="63D3FFE8" w14:textId="77777777" w:rsidR="00630766" w:rsidRPr="0084754A" w:rsidRDefault="00630766" w:rsidP="00630766">
      <w:pPr>
        <w:spacing w:line="360" w:lineRule="exact"/>
        <w:jc w:val="both"/>
      </w:pPr>
      <w:r w:rsidRPr="0084754A">
        <w:t xml:space="preserve">Il laboratorio </w:t>
      </w:r>
      <w:r>
        <w:t xml:space="preserve">del proponente </w:t>
      </w:r>
      <w:r w:rsidRPr="0084754A">
        <w:t>è in grado di fornire al</w:t>
      </w:r>
      <w:r>
        <w:t>/alla</w:t>
      </w:r>
      <w:r w:rsidRPr="0084754A">
        <w:t xml:space="preserve"> titolare dell’assegno una formazione completa e personalizzata, con una parte teorica comprendente </w:t>
      </w:r>
      <w:r>
        <w:t xml:space="preserve">la </w:t>
      </w:r>
      <w:r w:rsidRPr="0084754A">
        <w:t xml:space="preserve">fisiologia del ciclo veglia-sonno, </w:t>
      </w:r>
      <w:r>
        <w:t>l’</w:t>
      </w:r>
      <w:r w:rsidRPr="0084754A">
        <w:t xml:space="preserve">utilizzazione di modelli </w:t>
      </w:r>
      <w:r>
        <w:t xml:space="preserve">murini </w:t>
      </w:r>
      <w:r w:rsidRPr="0084754A">
        <w:t xml:space="preserve">di patologia umane, e </w:t>
      </w:r>
      <w:r>
        <w:t xml:space="preserve">le </w:t>
      </w:r>
      <w:r w:rsidRPr="0084754A">
        <w:t>nozioni di elettroencefalografia</w:t>
      </w:r>
      <w:r>
        <w:t>,</w:t>
      </w:r>
      <w:r w:rsidRPr="0084754A">
        <w:t xml:space="preserve"> </w:t>
      </w:r>
      <w:r>
        <w:t>fisiologia</w:t>
      </w:r>
      <w:r w:rsidRPr="0084754A">
        <w:t xml:space="preserve"> del sistema nervoso</w:t>
      </w:r>
      <w:r>
        <w:t xml:space="preserve"> e fisiologia cellulare</w:t>
      </w:r>
      <w:r w:rsidRPr="0084754A">
        <w:t xml:space="preserve">. </w:t>
      </w:r>
    </w:p>
    <w:p w14:paraId="17AD93B2" w14:textId="4C13A02A" w:rsidR="001E2127" w:rsidRDefault="00630766" w:rsidP="00B665C4">
      <w:pPr>
        <w:spacing w:line="360" w:lineRule="exact"/>
        <w:jc w:val="both"/>
      </w:pPr>
      <w:r w:rsidRPr="0084754A">
        <w:t>Il</w:t>
      </w:r>
      <w:r>
        <w:t>/la</w:t>
      </w:r>
      <w:r w:rsidRPr="0084754A">
        <w:t xml:space="preserve"> titolare parteciperà a riunioni interne quotidiane con il tutor ed i membri dello staff del laboratorio per la programmazione dell’attività sperimentale e l’analisi dei risultati ottenuti. Sono inoltre previsti incontri mensili di approfondimento degli aspetti teorici del lavoro programmato. Al termine dell’attività il</w:t>
      </w:r>
      <w:r>
        <w:t>/la</w:t>
      </w:r>
      <w:r w:rsidRPr="0084754A">
        <w:t xml:space="preserve"> titolare terrà un seminario per l’esposizione dei risultati conseguiti. Il</w:t>
      </w:r>
      <w:r>
        <w:t>/La</w:t>
      </w:r>
      <w:r w:rsidRPr="0084754A">
        <w:t xml:space="preserve"> titolare parteciperà inoltre a congressi nazionali ed internazionali sul sonno e le neuroscienze (ad es., Società Italiana di Fisiologia, Società Italiana di Neuroscienze, </w:t>
      </w:r>
      <w:r>
        <w:t xml:space="preserve">Società Italiana di Neurologia, </w:t>
      </w:r>
      <w:r w:rsidRPr="0084754A">
        <w:t xml:space="preserve">Associazione Italiana di Medicina del Sonno, </w:t>
      </w:r>
      <w:proofErr w:type="spellStart"/>
      <w:r w:rsidRPr="0084754A">
        <w:t>European</w:t>
      </w:r>
      <w:proofErr w:type="spellEnd"/>
      <w:r w:rsidRPr="0084754A">
        <w:t xml:space="preserve"> </w:t>
      </w:r>
      <w:proofErr w:type="spellStart"/>
      <w:r w:rsidRPr="0084754A">
        <w:t>Sleep</w:t>
      </w:r>
      <w:proofErr w:type="spellEnd"/>
      <w:r w:rsidRPr="0084754A">
        <w:t xml:space="preserve"> </w:t>
      </w:r>
      <w:proofErr w:type="spellStart"/>
      <w:r w:rsidRPr="0084754A">
        <w:t>Research</w:t>
      </w:r>
      <w:proofErr w:type="spellEnd"/>
      <w:r w:rsidRPr="0084754A">
        <w:t xml:space="preserve"> Society</w:t>
      </w:r>
      <w:r>
        <w:t xml:space="preserve">, Federation of </w:t>
      </w:r>
      <w:proofErr w:type="spellStart"/>
      <w:r>
        <w:t>European</w:t>
      </w:r>
      <w:proofErr w:type="spellEnd"/>
      <w:r>
        <w:t xml:space="preserve"> </w:t>
      </w:r>
      <w:proofErr w:type="spellStart"/>
      <w:r>
        <w:t>Neuroscience</w:t>
      </w:r>
      <w:proofErr w:type="spellEnd"/>
      <w:r>
        <w:t xml:space="preserve"> Societies</w:t>
      </w:r>
      <w:r w:rsidRPr="0084754A">
        <w:t>).</w:t>
      </w:r>
    </w:p>
    <w:sectPr w:rsidR="001E2127">
      <w:headerReference w:type="default" r:id="rId10"/>
      <w:pgSz w:w="11907" w:h="16840" w:code="9"/>
      <w:pgMar w:top="1134"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8E92" w14:textId="77777777" w:rsidR="005B1AA3" w:rsidRDefault="005B1AA3">
      <w:r>
        <w:separator/>
      </w:r>
    </w:p>
  </w:endnote>
  <w:endnote w:type="continuationSeparator" w:id="0">
    <w:p w14:paraId="733E2022" w14:textId="77777777" w:rsidR="005B1AA3" w:rsidRDefault="005B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w:altName w:val="Times New Roman"/>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2547" w14:textId="77777777" w:rsidR="005B1AA3" w:rsidRDefault="005B1AA3">
      <w:r>
        <w:separator/>
      </w:r>
    </w:p>
  </w:footnote>
  <w:footnote w:type="continuationSeparator" w:id="0">
    <w:p w14:paraId="41C4CFB4" w14:textId="77777777" w:rsidR="005B1AA3" w:rsidRDefault="005B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D207F7" w:rsidRDefault="00D207F7">
    <w:pPr>
      <w:pStyle w:val="Titolo1"/>
      <w:jc w:val="center"/>
      <w:rPr>
        <w:rFonts w:ascii="Trajan" w:hAnsi="Trajan"/>
        <w:b w:val="0"/>
        <w:color w:val="808080"/>
        <w:sz w:val="20"/>
      </w:rPr>
    </w:pPr>
  </w:p>
  <w:p w14:paraId="66204FF1" w14:textId="77777777" w:rsidR="00D207F7" w:rsidRPr="00DD7351" w:rsidRDefault="00D207F7" w:rsidP="002C24ED">
    <w:pPr>
      <w:jc w:val="center"/>
      <w:rPr>
        <w:rFonts w:ascii="Trajan Pro" w:hAnsi="Trajan Pro"/>
        <w:b/>
      </w:rPr>
    </w:pPr>
  </w:p>
  <w:p w14:paraId="2DBF0D7D" w14:textId="77777777" w:rsidR="00D207F7" w:rsidRDefault="00D207F7">
    <w:pPr>
      <w:pStyle w:val="Intestazione"/>
      <w:jc w:val="center"/>
      <w:rPr>
        <w:rFonts w:ascii="Bookman Old Style" w:hAnsi="Bookman Old Style"/>
        <w:bCs/>
      </w:rPr>
    </w:pPr>
    <w:r>
      <w:rPr>
        <w:rFonts w:ascii="Trajan" w:hAnsi="Trajan"/>
        <w:b/>
        <w:color w:val="8080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AED"/>
    <w:multiLevelType w:val="hybridMultilevel"/>
    <w:tmpl w:val="E99C90C8"/>
    <w:lvl w:ilvl="0" w:tplc="80CA58E6">
      <w:numFmt w:val="bullet"/>
      <w:lvlText w:val=""/>
      <w:lvlJc w:val="left"/>
      <w:pPr>
        <w:tabs>
          <w:tab w:val="num" w:pos="420"/>
        </w:tabs>
        <w:ind w:left="420" w:hanging="360"/>
      </w:pPr>
      <w:rPr>
        <w:rFonts w:ascii="Wingdings" w:eastAsia="Times New Roman" w:hAnsi="Wingdings" w:cs="Aria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01B07747"/>
    <w:multiLevelType w:val="hybridMultilevel"/>
    <w:tmpl w:val="DC926E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C690D"/>
    <w:multiLevelType w:val="hybridMultilevel"/>
    <w:tmpl w:val="8E060818"/>
    <w:lvl w:ilvl="0" w:tplc="88DA74C2">
      <w:numFmt w:val="bullet"/>
      <w:lvlText w:val="-"/>
      <w:lvlJc w:val="left"/>
      <w:pPr>
        <w:tabs>
          <w:tab w:val="num" w:pos="420"/>
        </w:tabs>
        <w:ind w:left="420" w:hanging="360"/>
      </w:pPr>
      <w:rPr>
        <w:rFonts w:ascii="Arial" w:eastAsia="Calibri" w:hAnsi="Arial" w:cs="Symbol" w:hint="default"/>
      </w:rPr>
    </w:lvl>
    <w:lvl w:ilvl="1" w:tplc="0410000F">
      <w:start w:val="1"/>
      <w:numFmt w:val="decimal"/>
      <w:lvlText w:val="%2."/>
      <w:lvlJc w:val="left"/>
      <w:pPr>
        <w:tabs>
          <w:tab w:val="num" w:pos="1140"/>
        </w:tabs>
        <w:ind w:left="1140" w:hanging="360"/>
      </w:pPr>
      <w:rPr>
        <w:rFonts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Arial"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Arial"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21C4EE1"/>
    <w:multiLevelType w:val="hybridMultilevel"/>
    <w:tmpl w:val="54FCA3F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27867890">
    <w:abstractNumId w:val="2"/>
  </w:num>
  <w:num w:numId="2" w16cid:durableId="563879171">
    <w:abstractNumId w:val="3"/>
  </w:num>
  <w:num w:numId="3" w16cid:durableId="728308730">
    <w:abstractNumId w:val="1"/>
  </w:num>
  <w:num w:numId="4" w16cid:durableId="66967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D1"/>
    <w:rsid w:val="00002846"/>
    <w:rsid w:val="000044E8"/>
    <w:rsid w:val="000069BA"/>
    <w:rsid w:val="0002360D"/>
    <w:rsid w:val="00034146"/>
    <w:rsid w:val="0003641E"/>
    <w:rsid w:val="00053193"/>
    <w:rsid w:val="000721D2"/>
    <w:rsid w:val="00076F5F"/>
    <w:rsid w:val="0008273B"/>
    <w:rsid w:val="000940AB"/>
    <w:rsid w:val="000A2329"/>
    <w:rsid w:val="000A7AB7"/>
    <w:rsid w:val="000B07B8"/>
    <w:rsid w:val="000C5389"/>
    <w:rsid w:val="000D528D"/>
    <w:rsid w:val="000E08D7"/>
    <w:rsid w:val="000F277B"/>
    <w:rsid w:val="001013F9"/>
    <w:rsid w:val="0013117E"/>
    <w:rsid w:val="00131195"/>
    <w:rsid w:val="0014160A"/>
    <w:rsid w:val="0014254B"/>
    <w:rsid w:val="00147B21"/>
    <w:rsid w:val="0015069E"/>
    <w:rsid w:val="00172DC6"/>
    <w:rsid w:val="0017586C"/>
    <w:rsid w:val="00182AB0"/>
    <w:rsid w:val="001A49F9"/>
    <w:rsid w:val="001A7432"/>
    <w:rsid w:val="001B20E2"/>
    <w:rsid w:val="001C2C9E"/>
    <w:rsid w:val="001C64AB"/>
    <w:rsid w:val="001C75C9"/>
    <w:rsid w:val="001D107C"/>
    <w:rsid w:val="001D4DC6"/>
    <w:rsid w:val="001E008B"/>
    <w:rsid w:val="001E0F20"/>
    <w:rsid w:val="001E2127"/>
    <w:rsid w:val="001E76E8"/>
    <w:rsid w:val="001F52F5"/>
    <w:rsid w:val="001F7883"/>
    <w:rsid w:val="0020260F"/>
    <w:rsid w:val="00214464"/>
    <w:rsid w:val="002206B2"/>
    <w:rsid w:val="0024521A"/>
    <w:rsid w:val="00255DED"/>
    <w:rsid w:val="00257CFA"/>
    <w:rsid w:val="00261E06"/>
    <w:rsid w:val="00267AB2"/>
    <w:rsid w:val="00274340"/>
    <w:rsid w:val="00283018"/>
    <w:rsid w:val="002909C2"/>
    <w:rsid w:val="00290F81"/>
    <w:rsid w:val="00291319"/>
    <w:rsid w:val="002A3CE8"/>
    <w:rsid w:val="002A6A5C"/>
    <w:rsid w:val="002C24ED"/>
    <w:rsid w:val="002C6C19"/>
    <w:rsid w:val="002E737D"/>
    <w:rsid w:val="00305C27"/>
    <w:rsid w:val="003157E9"/>
    <w:rsid w:val="003225F1"/>
    <w:rsid w:val="0034619F"/>
    <w:rsid w:val="00362D45"/>
    <w:rsid w:val="003754C2"/>
    <w:rsid w:val="00381E80"/>
    <w:rsid w:val="003968D4"/>
    <w:rsid w:val="003A0915"/>
    <w:rsid w:val="003B04E7"/>
    <w:rsid w:val="003C3F8E"/>
    <w:rsid w:val="003D1FF3"/>
    <w:rsid w:val="003D3DF2"/>
    <w:rsid w:val="003D5E13"/>
    <w:rsid w:val="003E4AAC"/>
    <w:rsid w:val="003F72D0"/>
    <w:rsid w:val="00406CCC"/>
    <w:rsid w:val="0044619D"/>
    <w:rsid w:val="004575FB"/>
    <w:rsid w:val="00467728"/>
    <w:rsid w:val="00471659"/>
    <w:rsid w:val="00474820"/>
    <w:rsid w:val="004749BD"/>
    <w:rsid w:val="004763A2"/>
    <w:rsid w:val="0048074C"/>
    <w:rsid w:val="004809B7"/>
    <w:rsid w:val="004950AE"/>
    <w:rsid w:val="004A001C"/>
    <w:rsid w:val="004A0D00"/>
    <w:rsid w:val="004B6908"/>
    <w:rsid w:val="004C02B6"/>
    <w:rsid w:val="004F5D8C"/>
    <w:rsid w:val="00500477"/>
    <w:rsid w:val="005248B8"/>
    <w:rsid w:val="00535FD0"/>
    <w:rsid w:val="00540365"/>
    <w:rsid w:val="00540EC8"/>
    <w:rsid w:val="00547345"/>
    <w:rsid w:val="0055414A"/>
    <w:rsid w:val="005659D6"/>
    <w:rsid w:val="00586314"/>
    <w:rsid w:val="005972E4"/>
    <w:rsid w:val="005B1AA3"/>
    <w:rsid w:val="005F51FC"/>
    <w:rsid w:val="00600786"/>
    <w:rsid w:val="00615538"/>
    <w:rsid w:val="00630766"/>
    <w:rsid w:val="006354B4"/>
    <w:rsid w:val="00643DE7"/>
    <w:rsid w:val="00645471"/>
    <w:rsid w:val="00651A0B"/>
    <w:rsid w:val="00664A04"/>
    <w:rsid w:val="00671D32"/>
    <w:rsid w:val="006844D1"/>
    <w:rsid w:val="006845F1"/>
    <w:rsid w:val="006A1FF7"/>
    <w:rsid w:val="006B0327"/>
    <w:rsid w:val="006B3DC8"/>
    <w:rsid w:val="006C2014"/>
    <w:rsid w:val="006D4A4C"/>
    <w:rsid w:val="006E0294"/>
    <w:rsid w:val="006E5580"/>
    <w:rsid w:val="006E705F"/>
    <w:rsid w:val="00704BA6"/>
    <w:rsid w:val="007100E5"/>
    <w:rsid w:val="00715707"/>
    <w:rsid w:val="00717008"/>
    <w:rsid w:val="00720D23"/>
    <w:rsid w:val="00724B84"/>
    <w:rsid w:val="00727F2D"/>
    <w:rsid w:val="0073168B"/>
    <w:rsid w:val="007321C3"/>
    <w:rsid w:val="00745351"/>
    <w:rsid w:val="00746FBD"/>
    <w:rsid w:val="007526F6"/>
    <w:rsid w:val="00763D7F"/>
    <w:rsid w:val="00766075"/>
    <w:rsid w:val="007711A5"/>
    <w:rsid w:val="00785137"/>
    <w:rsid w:val="007A7071"/>
    <w:rsid w:val="007B7347"/>
    <w:rsid w:val="007D1FF9"/>
    <w:rsid w:val="007E4FFF"/>
    <w:rsid w:val="007E7D3A"/>
    <w:rsid w:val="00804149"/>
    <w:rsid w:val="008070D1"/>
    <w:rsid w:val="00815901"/>
    <w:rsid w:val="008221C4"/>
    <w:rsid w:val="00831DC8"/>
    <w:rsid w:val="0086699F"/>
    <w:rsid w:val="00871703"/>
    <w:rsid w:val="00892025"/>
    <w:rsid w:val="008963FF"/>
    <w:rsid w:val="008A3326"/>
    <w:rsid w:val="008A52BB"/>
    <w:rsid w:val="008A58F5"/>
    <w:rsid w:val="008A66A8"/>
    <w:rsid w:val="008A7AD1"/>
    <w:rsid w:val="008D4486"/>
    <w:rsid w:val="008E125C"/>
    <w:rsid w:val="008E1C59"/>
    <w:rsid w:val="008F0F85"/>
    <w:rsid w:val="00933E4A"/>
    <w:rsid w:val="009472D6"/>
    <w:rsid w:val="00947EA3"/>
    <w:rsid w:val="0095465B"/>
    <w:rsid w:val="00977E38"/>
    <w:rsid w:val="00983849"/>
    <w:rsid w:val="009866D4"/>
    <w:rsid w:val="00997B12"/>
    <w:rsid w:val="009A1044"/>
    <w:rsid w:val="009A61A8"/>
    <w:rsid w:val="009D1D5E"/>
    <w:rsid w:val="009D5964"/>
    <w:rsid w:val="009F08B8"/>
    <w:rsid w:val="009F0918"/>
    <w:rsid w:val="009F1917"/>
    <w:rsid w:val="00A03B05"/>
    <w:rsid w:val="00A06D84"/>
    <w:rsid w:val="00A12738"/>
    <w:rsid w:val="00A243AB"/>
    <w:rsid w:val="00A31387"/>
    <w:rsid w:val="00A31653"/>
    <w:rsid w:val="00A60204"/>
    <w:rsid w:val="00A83D59"/>
    <w:rsid w:val="00A9186D"/>
    <w:rsid w:val="00AA193E"/>
    <w:rsid w:val="00AA5E7C"/>
    <w:rsid w:val="00AB57DB"/>
    <w:rsid w:val="00AD3C51"/>
    <w:rsid w:val="00AE757D"/>
    <w:rsid w:val="00B0098C"/>
    <w:rsid w:val="00B15171"/>
    <w:rsid w:val="00B23D9D"/>
    <w:rsid w:val="00B45BF4"/>
    <w:rsid w:val="00B62E86"/>
    <w:rsid w:val="00B665C4"/>
    <w:rsid w:val="00B91A4A"/>
    <w:rsid w:val="00BA6B18"/>
    <w:rsid w:val="00BB5911"/>
    <w:rsid w:val="00BD00DC"/>
    <w:rsid w:val="00BD31E2"/>
    <w:rsid w:val="00BF1725"/>
    <w:rsid w:val="00C26316"/>
    <w:rsid w:val="00C3417B"/>
    <w:rsid w:val="00C45871"/>
    <w:rsid w:val="00C6021E"/>
    <w:rsid w:val="00C865BA"/>
    <w:rsid w:val="00C938B5"/>
    <w:rsid w:val="00C945E9"/>
    <w:rsid w:val="00C97404"/>
    <w:rsid w:val="00CA0595"/>
    <w:rsid w:val="00CA1244"/>
    <w:rsid w:val="00CC1F61"/>
    <w:rsid w:val="00CD4666"/>
    <w:rsid w:val="00CE36DD"/>
    <w:rsid w:val="00CE6D62"/>
    <w:rsid w:val="00CF3507"/>
    <w:rsid w:val="00D02384"/>
    <w:rsid w:val="00D207F7"/>
    <w:rsid w:val="00D251B4"/>
    <w:rsid w:val="00D37FE7"/>
    <w:rsid w:val="00D50075"/>
    <w:rsid w:val="00D77BAC"/>
    <w:rsid w:val="00D8738F"/>
    <w:rsid w:val="00D921AB"/>
    <w:rsid w:val="00D969BF"/>
    <w:rsid w:val="00D96CB7"/>
    <w:rsid w:val="00DA6C08"/>
    <w:rsid w:val="00DA705B"/>
    <w:rsid w:val="00DB53E9"/>
    <w:rsid w:val="00DC0746"/>
    <w:rsid w:val="00DC07E2"/>
    <w:rsid w:val="00DC3ADC"/>
    <w:rsid w:val="00DD7504"/>
    <w:rsid w:val="00DE40B5"/>
    <w:rsid w:val="00E101CB"/>
    <w:rsid w:val="00E10FC6"/>
    <w:rsid w:val="00E11A65"/>
    <w:rsid w:val="00E11FEF"/>
    <w:rsid w:val="00E24893"/>
    <w:rsid w:val="00E30538"/>
    <w:rsid w:val="00E3535E"/>
    <w:rsid w:val="00E416BE"/>
    <w:rsid w:val="00E47570"/>
    <w:rsid w:val="00E60899"/>
    <w:rsid w:val="00E617B3"/>
    <w:rsid w:val="00E63BA8"/>
    <w:rsid w:val="00E654FB"/>
    <w:rsid w:val="00E72076"/>
    <w:rsid w:val="00E8461C"/>
    <w:rsid w:val="00E950ED"/>
    <w:rsid w:val="00EA3C5B"/>
    <w:rsid w:val="00EB050C"/>
    <w:rsid w:val="00EB1958"/>
    <w:rsid w:val="00EB1C75"/>
    <w:rsid w:val="00EC008C"/>
    <w:rsid w:val="00ED3A77"/>
    <w:rsid w:val="00ED723C"/>
    <w:rsid w:val="00EE1CE9"/>
    <w:rsid w:val="00F11895"/>
    <w:rsid w:val="00F1326C"/>
    <w:rsid w:val="00F23F85"/>
    <w:rsid w:val="00F325E5"/>
    <w:rsid w:val="00F34958"/>
    <w:rsid w:val="00F37552"/>
    <w:rsid w:val="00F409C5"/>
    <w:rsid w:val="00F41DDA"/>
    <w:rsid w:val="00F45281"/>
    <w:rsid w:val="00F4572F"/>
    <w:rsid w:val="00F673BA"/>
    <w:rsid w:val="00F705C6"/>
    <w:rsid w:val="00F77DF8"/>
    <w:rsid w:val="00F80E22"/>
    <w:rsid w:val="00F83AB5"/>
    <w:rsid w:val="00F9563F"/>
    <w:rsid w:val="00FB5B57"/>
    <w:rsid w:val="00FC45F4"/>
    <w:rsid w:val="00FE66CB"/>
    <w:rsid w:val="6B009A3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B13B8"/>
  <w15:chartTrackingRefBased/>
  <w15:docId w15:val="{6BDD1B09-23B6-468C-AE1A-AF079EA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AD1"/>
    <w:pPr>
      <w:overflowPunct w:val="0"/>
      <w:autoSpaceDE w:val="0"/>
      <w:autoSpaceDN w:val="0"/>
      <w:adjustRightInd w:val="0"/>
      <w:textAlignment w:val="baseline"/>
    </w:pPr>
    <w:rPr>
      <w:rFonts w:ascii="Times New Roman" w:eastAsia="Times New Roman" w:hAnsi="Times New Roman"/>
      <w:sz w:val="24"/>
      <w:lang w:eastAsia="en-US"/>
    </w:rPr>
  </w:style>
  <w:style w:type="paragraph" w:styleId="Titolo1">
    <w:name w:val="heading 1"/>
    <w:basedOn w:val="Normale"/>
    <w:next w:val="Normale"/>
    <w:link w:val="Titolo1Carattere"/>
    <w:qFormat/>
    <w:rsid w:val="008A7AD1"/>
    <w:pPr>
      <w:keepNext/>
      <w:outlineLvl w:val="0"/>
    </w:pPr>
    <w:rPr>
      <w:rFonts w:ascii="Arial" w:hAnsi="Arial"/>
      <w:b/>
      <w:sz w:val="1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AD1"/>
    <w:rPr>
      <w:rFonts w:ascii="Arial" w:eastAsia="Times New Roman" w:hAnsi="Arial" w:cs="Times New Roman"/>
      <w:b/>
      <w:sz w:val="16"/>
    </w:rPr>
  </w:style>
  <w:style w:type="paragraph" w:styleId="Pidipagina">
    <w:name w:val="footer"/>
    <w:basedOn w:val="Normale"/>
    <w:link w:val="PidipaginaCarattere"/>
    <w:rsid w:val="008A7AD1"/>
    <w:pPr>
      <w:tabs>
        <w:tab w:val="center" w:pos="4819"/>
        <w:tab w:val="right" w:pos="9638"/>
      </w:tabs>
    </w:pPr>
    <w:rPr>
      <w:lang w:val="x-none" w:eastAsia="x-none"/>
    </w:rPr>
  </w:style>
  <w:style w:type="character" w:customStyle="1" w:styleId="PidipaginaCarattere">
    <w:name w:val="Piè di pagina Carattere"/>
    <w:link w:val="Pidipagina"/>
    <w:rsid w:val="008A7AD1"/>
    <w:rPr>
      <w:rFonts w:ascii="Times New Roman" w:eastAsia="Times New Roman" w:hAnsi="Times New Roman" w:cs="Times New Roman"/>
      <w:sz w:val="24"/>
    </w:rPr>
  </w:style>
  <w:style w:type="paragraph" w:styleId="Intestazione">
    <w:name w:val="header"/>
    <w:basedOn w:val="Normale"/>
    <w:link w:val="IntestazioneCarattere"/>
    <w:rsid w:val="008A7AD1"/>
    <w:pPr>
      <w:tabs>
        <w:tab w:val="center" w:pos="4819"/>
        <w:tab w:val="right" w:pos="9638"/>
      </w:tabs>
      <w:overflowPunct/>
      <w:autoSpaceDE/>
      <w:autoSpaceDN/>
      <w:adjustRightInd/>
      <w:textAlignment w:val="auto"/>
    </w:pPr>
    <w:rPr>
      <w:szCs w:val="24"/>
      <w:lang w:val="x-none" w:eastAsia="it-IT"/>
    </w:rPr>
  </w:style>
  <w:style w:type="character" w:customStyle="1" w:styleId="IntestazioneCarattere">
    <w:name w:val="Intestazione Carattere"/>
    <w:link w:val="Intestazione"/>
    <w:rsid w:val="008A7AD1"/>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rsid w:val="0087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PreformattatoHTMLCarattere">
    <w:name w:val="Preformattato HTML Carattere"/>
    <w:link w:val="PreformattatoHTML"/>
    <w:rsid w:val="00871703"/>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381E80"/>
    <w:rPr>
      <w:rFonts w:ascii="Tahoma" w:hAnsi="Tahoma"/>
      <w:sz w:val="16"/>
      <w:szCs w:val="16"/>
      <w:lang w:val="x-none"/>
    </w:rPr>
  </w:style>
  <w:style w:type="character" w:customStyle="1" w:styleId="TestofumettoCarattere">
    <w:name w:val="Testo fumetto Carattere"/>
    <w:link w:val="Testofumetto"/>
    <w:uiPriority w:val="99"/>
    <w:semiHidden/>
    <w:rsid w:val="00381E80"/>
    <w:rPr>
      <w:rFonts w:ascii="Tahoma" w:eastAsia="Times New Roman" w:hAnsi="Tahoma" w:cs="Tahoma"/>
      <w:sz w:val="16"/>
      <w:szCs w:val="16"/>
      <w:lang w:eastAsia="en-US"/>
    </w:rPr>
  </w:style>
  <w:style w:type="paragraph" w:styleId="Paragrafoelenco">
    <w:name w:val="List Paragraph"/>
    <w:basedOn w:val="Normale"/>
    <w:uiPriority w:val="34"/>
    <w:qFormat/>
    <w:rsid w:val="000069BA"/>
    <w:pPr>
      <w:ind w:left="708"/>
    </w:pPr>
  </w:style>
  <w:style w:type="character" w:styleId="Collegamentoipertestuale">
    <w:name w:val="Hyperlink"/>
    <w:uiPriority w:val="99"/>
    <w:unhideWhenUsed/>
    <w:rsid w:val="00D8738F"/>
    <w:rPr>
      <w:color w:val="0000FF"/>
      <w:u w:val="single"/>
    </w:rPr>
  </w:style>
  <w:style w:type="character" w:styleId="Rimandocommento">
    <w:name w:val="annotation reference"/>
    <w:uiPriority w:val="99"/>
    <w:semiHidden/>
    <w:unhideWhenUsed/>
    <w:rsid w:val="00E47570"/>
    <w:rPr>
      <w:sz w:val="16"/>
      <w:szCs w:val="16"/>
    </w:rPr>
  </w:style>
  <w:style w:type="paragraph" w:styleId="Testocommento">
    <w:name w:val="annotation text"/>
    <w:basedOn w:val="Normale"/>
    <w:link w:val="TestocommentoCarattere"/>
    <w:uiPriority w:val="99"/>
    <w:semiHidden/>
    <w:unhideWhenUsed/>
    <w:rsid w:val="00E47570"/>
    <w:rPr>
      <w:sz w:val="20"/>
    </w:rPr>
  </w:style>
  <w:style w:type="character" w:customStyle="1" w:styleId="TestocommentoCarattere">
    <w:name w:val="Testo commento Carattere"/>
    <w:link w:val="Testocommento"/>
    <w:uiPriority w:val="99"/>
    <w:semiHidden/>
    <w:rsid w:val="00E47570"/>
    <w:rPr>
      <w:rFonts w:ascii="Times New Roman" w:eastAsia="Times New Roman" w:hAnsi="Times New Roman"/>
      <w:lang w:eastAsia="en-US"/>
    </w:rPr>
  </w:style>
  <w:style w:type="paragraph" w:styleId="Soggettocommento">
    <w:name w:val="annotation subject"/>
    <w:basedOn w:val="Testocommento"/>
    <w:next w:val="Testocommento"/>
    <w:link w:val="SoggettocommentoCarattere"/>
    <w:uiPriority w:val="99"/>
    <w:semiHidden/>
    <w:unhideWhenUsed/>
    <w:rsid w:val="00E47570"/>
    <w:rPr>
      <w:b/>
      <w:bCs/>
    </w:rPr>
  </w:style>
  <w:style w:type="character" w:customStyle="1" w:styleId="SoggettocommentoCarattere">
    <w:name w:val="Soggetto commento Carattere"/>
    <w:link w:val="Soggettocommento"/>
    <w:uiPriority w:val="99"/>
    <w:semiHidden/>
    <w:rsid w:val="00E47570"/>
    <w:rPr>
      <w:rFonts w:ascii="Times New Roman" w:eastAsia="Times New Roman" w:hAnsi="Times New Roman"/>
      <w:b/>
      <w:bCs/>
      <w:lang w:eastAsia="en-US"/>
    </w:rPr>
  </w:style>
  <w:style w:type="paragraph" w:styleId="Revisione">
    <w:name w:val="Revision"/>
    <w:hidden/>
    <w:uiPriority w:val="99"/>
    <w:semiHidden/>
    <w:rsid w:val="0044619D"/>
    <w:rPr>
      <w:rFonts w:ascii="Times New Roman" w:eastAsia="Times New Roman" w:hAnsi="Times New Roman"/>
      <w:sz w:val="24"/>
      <w:lang w:eastAsia="en-US"/>
    </w:rPr>
  </w:style>
  <w:style w:type="table" w:styleId="Grigliatabella">
    <w:name w:val="Table Grid"/>
    <w:basedOn w:val="Tabellanormale"/>
    <w:uiPriority w:val="59"/>
    <w:rsid w:val="002C6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30766"/>
    <w:pPr>
      <w:overflowPunct/>
      <w:autoSpaceDE/>
      <w:autoSpaceDN/>
      <w:adjustRightInd/>
      <w:spacing w:before="100" w:beforeAutospacing="1" w:after="100" w:afterAutospacing="1"/>
      <w:textAlignment w:val="auto"/>
    </w:pPr>
    <w:rPr>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6463">
      <w:bodyDiv w:val="1"/>
      <w:marLeft w:val="0"/>
      <w:marRight w:val="0"/>
      <w:marTop w:val="0"/>
      <w:marBottom w:val="0"/>
      <w:divBdr>
        <w:top w:val="none" w:sz="0" w:space="0" w:color="auto"/>
        <w:left w:val="none" w:sz="0" w:space="0" w:color="auto"/>
        <w:bottom w:val="none" w:sz="0" w:space="0" w:color="auto"/>
        <w:right w:val="none" w:sz="0" w:space="0" w:color="auto"/>
      </w:divBdr>
    </w:div>
    <w:div w:id="930770981">
      <w:bodyDiv w:val="1"/>
      <w:marLeft w:val="0"/>
      <w:marRight w:val="0"/>
      <w:marTop w:val="0"/>
      <w:marBottom w:val="0"/>
      <w:divBdr>
        <w:top w:val="none" w:sz="0" w:space="0" w:color="auto"/>
        <w:left w:val="none" w:sz="0" w:space="0" w:color="auto"/>
        <w:bottom w:val="none" w:sz="0" w:space="0" w:color="auto"/>
        <w:right w:val="none" w:sz="0" w:space="0" w:color="auto"/>
      </w:divBdr>
    </w:div>
    <w:div w:id="199506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scrip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x.org/news-and-insights/jax-blog/2014/september/six-steps-for-setting-up-timed-pregnant-mic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6B34-9786-409C-92B2-79E01BC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4059</Words>
  <Characters>23137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Allegato 1</vt:lpstr>
    </vt:vector>
  </TitlesOfParts>
  <Company>Clinica Neurologica, Università di Bologna</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Pietro Cortelli 2004</dc:creator>
  <cp:keywords/>
  <cp:lastModifiedBy>Alessandro Silvani</cp:lastModifiedBy>
  <cp:revision>7</cp:revision>
  <cp:lastPrinted>2017-06-13T00:20:00Z</cp:lastPrinted>
  <dcterms:created xsi:type="dcterms:W3CDTF">2022-04-22T12:36:00Z</dcterms:created>
  <dcterms:modified xsi:type="dcterms:W3CDTF">2022-04-22T12:40:00Z</dcterms:modified>
</cp:coreProperties>
</file>